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E5F3" w14:textId="77777777" w:rsidR="00175C75" w:rsidRDefault="00175C75">
      <w:pPr>
        <w:pStyle w:val="a5"/>
        <w:spacing w:line="278" w:lineRule="auto"/>
        <w:rPr>
          <w:rFonts w:ascii="Times New Roman" w:hAnsi="Times New Roman"/>
        </w:rPr>
      </w:pPr>
    </w:p>
    <w:p w14:paraId="28D66981" w14:textId="77777777" w:rsidR="00175C75" w:rsidRDefault="00AB7609">
      <w:pPr>
        <w:pStyle w:val="a5"/>
        <w:spacing w:line="278" w:lineRule="auto"/>
      </w:pPr>
      <w:r>
        <w:rPr>
          <w:color w:val="006FC0"/>
          <w:u w:color="006FC0"/>
        </w:rPr>
        <w:t>КРАТКОЕ РУКОВОДСТВО ПО СТРАХОВАНИЮ ОТВЕТСТВЕННОСТИ РУКОВОДИТЕЛЕЙ</w:t>
      </w:r>
    </w:p>
    <w:p w14:paraId="449A459E" w14:textId="77777777" w:rsidR="00175C75" w:rsidRDefault="00AB7609">
      <w:pPr>
        <w:pStyle w:val="Heading"/>
        <w:spacing w:before="192"/>
        <w:jc w:val="left"/>
      </w:pPr>
      <w:r>
        <w:t>Введение</w:t>
      </w:r>
    </w:p>
    <w:p w14:paraId="6D6D8A60" w14:textId="77777777" w:rsidR="00175C75" w:rsidRDefault="00AB7609">
      <w:pPr>
        <w:pStyle w:val="a4"/>
        <w:spacing w:before="271" w:line="278" w:lineRule="auto"/>
        <w:ind w:left="202" w:right="105"/>
        <w:jc w:val="both"/>
      </w:pPr>
      <w:r>
        <w:t xml:space="preserve">Настоящее руководство даёт представление об основах страхования ответственности директоров и предназначено для ознакомления с потенциальными рисками руководителей в </w:t>
      </w:r>
      <w:r>
        <w:t>российской юрисдикции и принятия решения о необходимости приобретения страхового</w:t>
      </w:r>
      <w:r>
        <w:t xml:space="preserve"> </w:t>
      </w:r>
      <w:r>
        <w:t>полиса.</w:t>
      </w:r>
    </w:p>
    <w:p w14:paraId="1E6265C2" w14:textId="77777777" w:rsidR="00175C75" w:rsidRDefault="00AB7609">
      <w:pPr>
        <w:pStyle w:val="a4"/>
        <w:spacing w:before="194" w:line="276" w:lineRule="auto"/>
        <w:ind w:left="202" w:right="105"/>
        <w:jc w:val="both"/>
      </w:pPr>
      <w:r>
        <w:t>Несмотря на то, что у каждого бизнеса есть свои индивидуальные особенности, мы все находимся в одной юридической и регуляторной среде, которая определяет размер потенц</w:t>
      </w:r>
      <w:r>
        <w:t>иальной ответственности руководителя, занимающего пост члена совета директоров или правления в компании. Эта среда постоянно меняется и год от года становится всё более опасной для директора.</w:t>
      </w:r>
    </w:p>
    <w:p w14:paraId="3FE69812" w14:textId="77777777" w:rsidR="00175C75" w:rsidRDefault="00175C75">
      <w:pPr>
        <w:pStyle w:val="a4"/>
        <w:spacing w:before="6"/>
        <w:rPr>
          <w:sz w:val="16"/>
          <w:szCs w:val="16"/>
        </w:rPr>
      </w:pPr>
    </w:p>
    <w:p w14:paraId="0C64C727" w14:textId="77777777" w:rsidR="00175C75" w:rsidRDefault="00AB7609">
      <w:pPr>
        <w:pStyle w:val="a4"/>
        <w:spacing w:line="276" w:lineRule="auto"/>
        <w:ind w:left="202" w:right="104"/>
        <w:jc w:val="both"/>
      </w:pPr>
      <w:r>
        <w:t>На Вас, как на директоре компании, потенциально лежит практичес</w:t>
      </w:r>
      <w:r>
        <w:t>ки неограниченная персональная ответственность, поэтому имеет смысл подумать о том, как защитить свои личные активы.</w:t>
      </w:r>
    </w:p>
    <w:p w14:paraId="1138EA21" w14:textId="77777777" w:rsidR="00175C75" w:rsidRDefault="00175C75">
      <w:pPr>
        <w:pStyle w:val="a4"/>
        <w:spacing w:before="6"/>
        <w:rPr>
          <w:sz w:val="16"/>
          <w:szCs w:val="16"/>
        </w:rPr>
      </w:pPr>
    </w:p>
    <w:p w14:paraId="4F7AA7FD" w14:textId="77777777" w:rsidR="00175C75" w:rsidRDefault="00AB7609">
      <w:pPr>
        <w:pStyle w:val="a4"/>
        <w:ind w:left="202"/>
        <w:jc w:val="both"/>
      </w:pPr>
      <w:r>
        <w:t>Из этого руководства Вы узнаете:</w:t>
      </w:r>
    </w:p>
    <w:p w14:paraId="2F8B7100" w14:textId="77777777" w:rsidR="00175C75" w:rsidRDefault="00175C75">
      <w:pPr>
        <w:pStyle w:val="a4"/>
        <w:spacing w:before="6"/>
        <w:rPr>
          <w:sz w:val="19"/>
          <w:szCs w:val="19"/>
        </w:rPr>
      </w:pPr>
    </w:p>
    <w:p w14:paraId="137AC98C" w14:textId="77777777" w:rsidR="00175C75" w:rsidRDefault="00AB7609">
      <w:pPr>
        <w:pStyle w:val="a6"/>
        <w:numPr>
          <w:ilvl w:val="0"/>
          <w:numId w:val="2"/>
        </w:numPr>
        <w:spacing w:before="0"/>
      </w:pPr>
      <w:r>
        <w:t>Что такое страхование ответственности</w:t>
      </w:r>
      <w:r>
        <w:t xml:space="preserve"> </w:t>
      </w:r>
      <w:r>
        <w:t>директоров?</w:t>
      </w:r>
    </w:p>
    <w:p w14:paraId="6892AA57" w14:textId="77777777" w:rsidR="00175C75" w:rsidRDefault="00AB7609">
      <w:pPr>
        <w:pStyle w:val="a6"/>
        <w:numPr>
          <w:ilvl w:val="0"/>
          <w:numId w:val="2"/>
        </w:numPr>
        <w:spacing w:before="41"/>
      </w:pPr>
      <w:r>
        <w:t>Кто покупает его и</w:t>
      </w:r>
      <w:r>
        <w:t xml:space="preserve"> </w:t>
      </w:r>
      <w:r>
        <w:t>зачем?</w:t>
      </w:r>
    </w:p>
    <w:p w14:paraId="5D9DCB6F" w14:textId="77777777" w:rsidR="00175C75" w:rsidRDefault="00AB7609">
      <w:pPr>
        <w:pStyle w:val="a6"/>
        <w:numPr>
          <w:ilvl w:val="0"/>
          <w:numId w:val="2"/>
        </w:numPr>
        <w:spacing w:before="40"/>
      </w:pPr>
      <w:r>
        <w:t>Какие варианты страхования д</w:t>
      </w:r>
      <w:r>
        <w:t>оступны?</w:t>
      </w:r>
    </w:p>
    <w:p w14:paraId="09923685" w14:textId="77777777" w:rsidR="00175C75" w:rsidRDefault="00AB7609">
      <w:pPr>
        <w:pStyle w:val="a6"/>
        <w:numPr>
          <w:ilvl w:val="0"/>
          <w:numId w:val="2"/>
        </w:numPr>
        <w:spacing w:before="41"/>
      </w:pPr>
      <w:r>
        <w:t>Что покрывается</w:t>
      </w:r>
      <w:r>
        <w:t xml:space="preserve"> </w:t>
      </w:r>
      <w:r>
        <w:t>страхованием?</w:t>
      </w:r>
    </w:p>
    <w:p w14:paraId="494253F3" w14:textId="77777777" w:rsidR="00175C75" w:rsidRDefault="00AB7609">
      <w:pPr>
        <w:pStyle w:val="a6"/>
        <w:numPr>
          <w:ilvl w:val="0"/>
          <w:numId w:val="2"/>
        </w:numPr>
      </w:pPr>
      <w:r>
        <w:t>Сколько стоит такое страхование?</w:t>
      </w:r>
    </w:p>
    <w:p w14:paraId="109B5DA2" w14:textId="77777777" w:rsidR="00175C75" w:rsidRDefault="00AB7609">
      <w:pPr>
        <w:pStyle w:val="a6"/>
        <w:numPr>
          <w:ilvl w:val="0"/>
          <w:numId w:val="2"/>
        </w:numPr>
        <w:spacing w:before="41"/>
      </w:pPr>
      <w:r>
        <w:t>Типичные заблуждения</w:t>
      </w:r>
    </w:p>
    <w:p w14:paraId="3363C6DA" w14:textId="77777777" w:rsidR="00175C75" w:rsidRDefault="00AB7609">
      <w:pPr>
        <w:pStyle w:val="a6"/>
        <w:numPr>
          <w:ilvl w:val="0"/>
          <w:numId w:val="2"/>
        </w:numPr>
      </w:pPr>
      <w:r>
        <w:t>Примеры страховых</w:t>
      </w:r>
      <w:r>
        <w:t xml:space="preserve"> </w:t>
      </w:r>
      <w:r>
        <w:t>случаев</w:t>
      </w:r>
    </w:p>
    <w:p w14:paraId="15D0591D" w14:textId="77777777" w:rsidR="00175C75" w:rsidRDefault="00175C75">
      <w:pPr>
        <w:pStyle w:val="Body"/>
        <w:sectPr w:rsidR="00175C75">
          <w:headerReference w:type="default" r:id="rId7"/>
          <w:pgSz w:w="11920" w:h="16840"/>
          <w:pgMar w:top="1920" w:right="740" w:bottom="280" w:left="1500" w:header="708" w:footer="0" w:gutter="0"/>
          <w:cols w:space="720"/>
        </w:sectPr>
      </w:pPr>
    </w:p>
    <w:p w14:paraId="74F75EAF" w14:textId="77777777" w:rsidR="00175C75" w:rsidRDefault="00175C75">
      <w:pPr>
        <w:pStyle w:val="a4"/>
        <w:spacing w:before="2"/>
        <w:rPr>
          <w:sz w:val="24"/>
          <w:szCs w:val="24"/>
        </w:rPr>
      </w:pPr>
    </w:p>
    <w:p w14:paraId="50F865C5" w14:textId="77777777" w:rsidR="00175C75" w:rsidRDefault="00AB7609">
      <w:pPr>
        <w:pStyle w:val="Heading"/>
      </w:pPr>
      <w:r>
        <w:t>Что такое страхование ответственности директоров</w:t>
      </w:r>
      <w:r>
        <w:rPr>
          <w:lang w:val="zh-TW" w:eastAsia="zh-TW"/>
        </w:rPr>
        <w:t>?</w:t>
      </w:r>
    </w:p>
    <w:p w14:paraId="64651CB1" w14:textId="77777777" w:rsidR="00175C75" w:rsidRDefault="00AB7609">
      <w:pPr>
        <w:pStyle w:val="a4"/>
        <w:spacing w:before="271" w:line="276" w:lineRule="auto"/>
        <w:ind w:left="202" w:right="104"/>
        <w:jc w:val="both"/>
      </w:pPr>
      <w:r>
        <w:t xml:space="preserve">В большинстве случаев, </w:t>
      </w:r>
      <w:r>
        <w:t>компания будет финансировать защиту своих директоров от требований (т.е. письменных требований о возмещении вреда, гражданских, уголовных и административных исков) связанных с исполнением ими своих должностных полномочий. Для этого многие компании покупают</w:t>
      </w:r>
      <w:r>
        <w:t xml:space="preserve"> страхование ответственности всех своих директоров. Такое страхование покрывает расходы компании на защиту директоров от требований и возмещение нанесённого ими ущерба. Также такое страхование может включать защиту самой компании от требований по её ценным</w:t>
      </w:r>
      <w:r>
        <w:t xml:space="preserve"> бумагам (например, выпущенным ею акциям или</w:t>
      </w:r>
      <w:r>
        <w:t xml:space="preserve"> </w:t>
      </w:r>
      <w:r>
        <w:t>облигациям).</w:t>
      </w:r>
    </w:p>
    <w:p w14:paraId="160AA23F" w14:textId="77777777" w:rsidR="00175C75" w:rsidRDefault="00175C75">
      <w:pPr>
        <w:pStyle w:val="a4"/>
        <w:spacing w:before="5"/>
        <w:rPr>
          <w:sz w:val="16"/>
          <w:szCs w:val="16"/>
        </w:rPr>
      </w:pPr>
    </w:p>
    <w:p w14:paraId="30FF0C9A" w14:textId="77777777" w:rsidR="00175C75" w:rsidRDefault="00AB7609">
      <w:pPr>
        <w:pStyle w:val="a4"/>
        <w:spacing w:line="276" w:lineRule="auto"/>
        <w:ind w:left="202" w:right="103"/>
        <w:jc w:val="both"/>
      </w:pPr>
      <w:r>
        <w:t xml:space="preserve">В случае отсутствия или полного исчерпания выплатами такого страхования, компания будет вынуждена вести расходы на защиту и возмещение директоров из собственных средств. </w:t>
      </w:r>
      <w:proofErr w:type="gramStart"/>
      <w:r>
        <w:t>А в случае если</w:t>
      </w:r>
      <w:proofErr w:type="gramEnd"/>
      <w:r>
        <w:t xml:space="preserve"> компания не</w:t>
      </w:r>
      <w:r>
        <w:t xml:space="preserve"> сможет сделать этого, то директор будет вынужден задействовать свои личные</w:t>
      </w:r>
      <w:r>
        <w:t xml:space="preserve"> </w:t>
      </w:r>
      <w:r>
        <w:t>активы.</w:t>
      </w:r>
    </w:p>
    <w:p w14:paraId="43932EE3" w14:textId="77777777" w:rsidR="00175C75" w:rsidRDefault="00175C75">
      <w:pPr>
        <w:pStyle w:val="Body"/>
        <w:spacing w:line="276" w:lineRule="auto"/>
        <w:jc w:val="both"/>
        <w:sectPr w:rsidR="00175C75">
          <w:headerReference w:type="default" r:id="rId8"/>
          <w:pgSz w:w="11920" w:h="16840"/>
          <w:pgMar w:top="1920" w:right="740" w:bottom="280" w:left="1500" w:header="708" w:footer="0" w:gutter="0"/>
          <w:cols w:space="720"/>
        </w:sectPr>
      </w:pPr>
    </w:p>
    <w:p w14:paraId="007A8420" w14:textId="77777777" w:rsidR="00175C75" w:rsidRDefault="00175C75">
      <w:pPr>
        <w:pStyle w:val="a4"/>
        <w:spacing w:before="2"/>
        <w:rPr>
          <w:sz w:val="24"/>
          <w:szCs w:val="24"/>
        </w:rPr>
      </w:pPr>
    </w:p>
    <w:p w14:paraId="772B61F0" w14:textId="77777777" w:rsidR="00175C75" w:rsidRDefault="00AB7609">
      <w:pPr>
        <w:pStyle w:val="Heading"/>
      </w:pPr>
      <w:r>
        <w:t>Кто это покупает и зачем</w:t>
      </w:r>
      <w:r>
        <w:rPr>
          <w:lang w:val="zh-TW" w:eastAsia="zh-TW"/>
        </w:rPr>
        <w:t>?</w:t>
      </w:r>
    </w:p>
    <w:p w14:paraId="56593BBC" w14:textId="77777777" w:rsidR="00175C75" w:rsidRDefault="00AB7609">
      <w:pPr>
        <w:pStyle w:val="a4"/>
        <w:spacing w:before="271" w:line="278" w:lineRule="auto"/>
        <w:ind w:left="202" w:right="108"/>
        <w:jc w:val="both"/>
      </w:pPr>
      <w:r>
        <w:t xml:space="preserve">В России страхование ответственности директоров распространено неравномерно. Его покупают менее 1% всех </w:t>
      </w:r>
      <w:r>
        <w:t>зарегистрированных компаний. Но в котировальном списке первого уровня Московской Биржи это уже 90% компаний.</w:t>
      </w:r>
    </w:p>
    <w:p w14:paraId="385570F1" w14:textId="77777777" w:rsidR="00175C75" w:rsidRDefault="00AB7609">
      <w:pPr>
        <w:pStyle w:val="a4"/>
        <w:spacing w:before="194" w:line="276" w:lineRule="auto"/>
        <w:ind w:left="202" w:right="105"/>
        <w:jc w:val="both"/>
      </w:pPr>
      <w:r>
        <w:t>Косвенно это страхование даёт защиту имущественных интересов собственников компании от рисков связанных с неверными действиями руководителей (в пер</w:t>
      </w:r>
      <w:r>
        <w:t>вую очередь оно предназначено для защиты интересов директоров).</w:t>
      </w:r>
    </w:p>
    <w:p w14:paraId="40DA98A1" w14:textId="77777777" w:rsidR="00175C75" w:rsidRDefault="00175C75">
      <w:pPr>
        <w:pStyle w:val="a4"/>
        <w:spacing w:before="3"/>
        <w:rPr>
          <w:sz w:val="16"/>
          <w:szCs w:val="16"/>
        </w:rPr>
      </w:pPr>
    </w:p>
    <w:p w14:paraId="1D1E327B" w14:textId="7A392ECE" w:rsidR="00175C75" w:rsidRDefault="00AB7609">
      <w:pPr>
        <w:pStyle w:val="a4"/>
        <w:spacing w:before="1" w:line="276" w:lineRule="auto"/>
        <w:ind w:left="202" w:right="102"/>
        <w:jc w:val="both"/>
      </w:pPr>
      <w:r>
        <w:t>Кроме того</w:t>
      </w:r>
      <w:r w:rsidR="00445DC9">
        <w:t>,</w:t>
      </w:r>
      <w:r>
        <w:t xml:space="preserve"> для компании наличие такого полиса повышает её инвестиционную привлекательность (соответствие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) и привлекательность как работодателя при найме высокопрофессиональных </w:t>
      </w:r>
      <w:r>
        <w:t>руководителей.</w:t>
      </w:r>
    </w:p>
    <w:p w14:paraId="2A8351EE" w14:textId="77777777" w:rsidR="00175C75" w:rsidRDefault="00175C75">
      <w:pPr>
        <w:pStyle w:val="a4"/>
        <w:spacing w:before="4"/>
        <w:rPr>
          <w:sz w:val="16"/>
          <w:szCs w:val="16"/>
        </w:rPr>
      </w:pPr>
    </w:p>
    <w:p w14:paraId="0AEAE89D" w14:textId="77777777" w:rsidR="00175C75" w:rsidRDefault="00AB7609">
      <w:pPr>
        <w:pStyle w:val="a4"/>
        <w:spacing w:line="278" w:lineRule="auto"/>
        <w:ind w:left="202" w:right="110"/>
        <w:jc w:val="both"/>
      </w:pPr>
      <w:r>
        <w:t>До недавнего времени на российском рынке существовало только решение по покупке полиса компанией. Теперь для членов АНД доступно индивидуальное страхование.</w:t>
      </w:r>
    </w:p>
    <w:p w14:paraId="70EA77A5" w14:textId="77777777" w:rsidR="00175C75" w:rsidRDefault="00175C75">
      <w:pPr>
        <w:pStyle w:val="Body"/>
        <w:spacing w:line="278" w:lineRule="auto"/>
        <w:jc w:val="both"/>
        <w:sectPr w:rsidR="00175C75">
          <w:headerReference w:type="default" r:id="rId9"/>
          <w:pgSz w:w="11920" w:h="16840"/>
          <w:pgMar w:top="1920" w:right="740" w:bottom="280" w:left="1500" w:header="708" w:footer="0" w:gutter="0"/>
          <w:cols w:space="720"/>
        </w:sectPr>
      </w:pPr>
    </w:p>
    <w:p w14:paraId="6DFCE003" w14:textId="77777777" w:rsidR="00175C75" w:rsidRDefault="00175C75">
      <w:pPr>
        <w:pStyle w:val="a4"/>
        <w:spacing w:before="2"/>
        <w:rPr>
          <w:sz w:val="24"/>
          <w:szCs w:val="24"/>
        </w:rPr>
      </w:pPr>
    </w:p>
    <w:p w14:paraId="192AC2A9" w14:textId="77777777" w:rsidR="00175C75" w:rsidRDefault="00AB7609">
      <w:pPr>
        <w:pStyle w:val="Heading"/>
      </w:pPr>
      <w:r>
        <w:t>Какие варианты страхования доступны</w:t>
      </w:r>
      <w:r>
        <w:rPr>
          <w:lang w:val="zh-TW" w:eastAsia="zh-TW"/>
        </w:rPr>
        <w:t>?</w:t>
      </w:r>
    </w:p>
    <w:p w14:paraId="187A92B5" w14:textId="77777777" w:rsidR="00175C75" w:rsidRDefault="00AB7609">
      <w:pPr>
        <w:pStyle w:val="2"/>
        <w:spacing w:before="271" w:line="278" w:lineRule="auto"/>
        <w:ind w:right="103"/>
      </w:pPr>
      <w:r>
        <w:t>Существует два вида пол</w:t>
      </w:r>
      <w:r>
        <w:t>исов страхования ответственности директоров – корпоративный и индивидуальный</w:t>
      </w:r>
      <w:r>
        <w:t>.</w:t>
      </w:r>
    </w:p>
    <w:p w14:paraId="315ADDE8" w14:textId="77777777" w:rsidR="00175C75" w:rsidRDefault="00AB7609">
      <w:pPr>
        <w:pStyle w:val="a4"/>
        <w:spacing w:before="196" w:line="276" w:lineRule="auto"/>
        <w:ind w:left="202" w:right="104"/>
        <w:jc w:val="both"/>
      </w:pPr>
      <w:r>
        <w:rPr>
          <w:b/>
          <w:bCs/>
        </w:rPr>
        <w:t xml:space="preserve">Корпоративное страхование </w:t>
      </w:r>
      <w:r>
        <w:t>покупается на имя организации и покрывает всех её директоров и должностных лиц в пределах одного общего лимита ответственности (который делится между директорами, а иногда и компанией). В такой полис обычно также включаются и дочерние компании со своими ди</w:t>
      </w:r>
      <w:r>
        <w:t>ректорами. Корпоративный полис является первой линией обороны директоров, которая позволяет защитить директоров и экономить средства компании.</w:t>
      </w:r>
    </w:p>
    <w:p w14:paraId="05FFD0F2" w14:textId="77777777" w:rsidR="00175C75" w:rsidRDefault="00175C75">
      <w:pPr>
        <w:pStyle w:val="a4"/>
        <w:spacing w:before="5"/>
        <w:rPr>
          <w:sz w:val="16"/>
          <w:szCs w:val="16"/>
        </w:rPr>
      </w:pPr>
    </w:p>
    <w:p w14:paraId="41FF8837" w14:textId="48618A40" w:rsidR="00175C75" w:rsidRDefault="00AB7609">
      <w:pPr>
        <w:pStyle w:val="a4"/>
        <w:spacing w:before="1" w:line="276" w:lineRule="auto"/>
        <w:ind w:left="202" w:right="107"/>
        <w:jc w:val="both"/>
      </w:pPr>
      <w:r>
        <w:rPr>
          <w:b/>
          <w:bCs/>
        </w:rPr>
        <w:t xml:space="preserve">Индивидуальное страхование </w:t>
      </w:r>
      <w:r>
        <w:t xml:space="preserve">покупается на физическое лицо – директора – и весь лимит по такому страхованию может </w:t>
      </w:r>
      <w:r>
        <w:t>расходоваться только на такого директора (а в случае</w:t>
      </w:r>
      <w:r w:rsidR="00445DC9">
        <w:t>,</w:t>
      </w:r>
      <w:r>
        <w:t xml:space="preserve"> если иск будет обращён на его правопреемников – на жену, детей и т.д.). Такое страхование покрывает директора во всех компаниях, где он занимает должность</w:t>
      </w:r>
      <w:r>
        <w:t xml:space="preserve"> </w:t>
      </w:r>
      <w:r>
        <w:t>директора.</w:t>
      </w:r>
    </w:p>
    <w:p w14:paraId="03197795" w14:textId="77777777" w:rsidR="00175C75" w:rsidRDefault="00175C75">
      <w:pPr>
        <w:pStyle w:val="a4"/>
        <w:spacing w:before="4"/>
        <w:rPr>
          <w:sz w:val="16"/>
          <w:szCs w:val="16"/>
        </w:rPr>
      </w:pPr>
    </w:p>
    <w:p w14:paraId="030D3B31" w14:textId="1515A3CA" w:rsidR="00175C75" w:rsidRDefault="00AB7609">
      <w:pPr>
        <w:pStyle w:val="a4"/>
        <w:spacing w:line="276" w:lineRule="auto"/>
        <w:ind w:left="202" w:right="108"/>
        <w:jc w:val="both"/>
      </w:pPr>
      <w:r>
        <w:t>Индивидуальное покрытие является пос</w:t>
      </w:r>
      <w:r>
        <w:t>ледней линией обороны директора после того</w:t>
      </w:r>
      <w:r w:rsidR="00445DC9">
        <w:t>,</w:t>
      </w:r>
      <w:r>
        <w:t xml:space="preserve"> как исчерпан корпоративный полис</w:t>
      </w:r>
      <w:r w:rsidR="00445DC9">
        <w:t>,</w:t>
      </w:r>
      <w:r>
        <w:t xml:space="preserve"> и компания уже не может заплатить за директора (по причине финансовой несостоятельности или по другим причинам).</w:t>
      </w:r>
    </w:p>
    <w:p w14:paraId="2DA472CA" w14:textId="77777777" w:rsidR="00175C75" w:rsidRDefault="00175C75">
      <w:pPr>
        <w:pStyle w:val="Body"/>
        <w:spacing w:line="276" w:lineRule="auto"/>
        <w:jc w:val="both"/>
        <w:sectPr w:rsidR="00175C75">
          <w:headerReference w:type="default" r:id="rId10"/>
          <w:pgSz w:w="11920" w:h="16840"/>
          <w:pgMar w:top="1920" w:right="740" w:bottom="280" w:left="1500" w:header="708" w:footer="0" w:gutter="0"/>
          <w:cols w:space="720"/>
        </w:sectPr>
      </w:pPr>
    </w:p>
    <w:p w14:paraId="18D46B66" w14:textId="77777777" w:rsidR="00175C75" w:rsidRDefault="00175C75">
      <w:pPr>
        <w:pStyle w:val="a4"/>
        <w:spacing w:before="2"/>
        <w:rPr>
          <w:sz w:val="24"/>
          <w:szCs w:val="24"/>
        </w:rPr>
      </w:pPr>
    </w:p>
    <w:p w14:paraId="2828E6D9" w14:textId="77777777" w:rsidR="00175C75" w:rsidRDefault="00AB7609">
      <w:pPr>
        <w:pStyle w:val="Heading"/>
      </w:pPr>
      <w:r>
        <w:t>Что покрывается страхованием</w:t>
      </w:r>
      <w:r>
        <w:rPr>
          <w:lang w:val="zh-TW" w:eastAsia="zh-TW"/>
        </w:rPr>
        <w:t>?</w:t>
      </w:r>
    </w:p>
    <w:p w14:paraId="442CCE8D" w14:textId="77777777" w:rsidR="00175C75" w:rsidRDefault="00AB7609">
      <w:pPr>
        <w:pStyle w:val="a4"/>
        <w:spacing w:before="271" w:line="276" w:lineRule="auto"/>
        <w:ind w:left="202" w:right="103"/>
        <w:jc w:val="both"/>
      </w:pPr>
      <w:r>
        <w:t>Страхование от</w:t>
      </w:r>
      <w:r>
        <w:t>ветственности директоров предоставляет: (1) возмещение расходов директора на защиту от требований (которые включают как письменные требования о возмещении  нанесённого директором вреда, так и иски в рамках гражданского, административного или уголовного про</w:t>
      </w:r>
      <w:r>
        <w:t>изводства), против директора, возникающих по причине его действий по осуществлению своих должностных полномочий, (2) возмещение нанесённого третьим лицам ущерба (как по решению суда, так и мировому соглашению) и (3) дополнительные расходы, такие как расход</w:t>
      </w:r>
      <w:r>
        <w:t>ы на предотвращение требований и расходы на восстановление репутации</w:t>
      </w:r>
      <w:r>
        <w:t xml:space="preserve"> </w:t>
      </w:r>
      <w:r>
        <w:t>директора.</w:t>
      </w:r>
    </w:p>
    <w:p w14:paraId="05FCC826" w14:textId="77777777" w:rsidR="00175C75" w:rsidRDefault="00175C75">
      <w:pPr>
        <w:pStyle w:val="a4"/>
        <w:spacing w:before="5"/>
        <w:rPr>
          <w:sz w:val="16"/>
          <w:szCs w:val="16"/>
        </w:rPr>
      </w:pPr>
    </w:p>
    <w:p w14:paraId="4D9713E0" w14:textId="3FA8C385" w:rsidR="00175C75" w:rsidRDefault="00AB7609">
      <w:pPr>
        <w:pStyle w:val="a4"/>
        <w:spacing w:line="276" w:lineRule="auto"/>
        <w:ind w:left="202" w:right="102"/>
        <w:jc w:val="both"/>
      </w:pPr>
      <w:r>
        <w:t>Расходы на защиту включают в себя гонорары адвокатов и юристов (согласованных Страховщиком)</w:t>
      </w:r>
      <w:r w:rsidR="00445DC9">
        <w:t>,</w:t>
      </w:r>
      <w:r>
        <w:t xml:space="preserve"> привлечённых директором для защиты от требования. Расходы на юристов оплачиваются </w:t>
      </w:r>
      <w:proofErr w:type="gramStart"/>
      <w:r>
        <w:t>и</w:t>
      </w:r>
      <w:r>
        <w:t xml:space="preserve"> в случае если</w:t>
      </w:r>
      <w:proofErr w:type="gramEnd"/>
      <w:r>
        <w:t xml:space="preserve"> требование ещё не предъявлено, но проводится расследование фактов деятельности директора официальным органом (например, регулятором) - расходы на расследование.</w:t>
      </w:r>
    </w:p>
    <w:p w14:paraId="37E24973" w14:textId="77777777" w:rsidR="00175C75" w:rsidRDefault="00175C75">
      <w:pPr>
        <w:pStyle w:val="a4"/>
        <w:spacing w:before="8"/>
        <w:rPr>
          <w:sz w:val="16"/>
          <w:szCs w:val="16"/>
        </w:rPr>
      </w:pPr>
    </w:p>
    <w:p w14:paraId="7F2888C8" w14:textId="77777777" w:rsidR="00175C75" w:rsidRDefault="00AB7609">
      <w:pPr>
        <w:pStyle w:val="a4"/>
        <w:ind w:left="202"/>
        <w:jc w:val="both"/>
      </w:pPr>
      <w:r>
        <w:t>Требования против директоров чаще всего предъявляются:</w:t>
      </w:r>
    </w:p>
    <w:p w14:paraId="51144FD9" w14:textId="77777777" w:rsidR="00175C75" w:rsidRDefault="00175C75">
      <w:pPr>
        <w:pStyle w:val="a4"/>
        <w:spacing w:before="6"/>
        <w:rPr>
          <w:sz w:val="19"/>
          <w:szCs w:val="19"/>
        </w:rPr>
      </w:pPr>
    </w:p>
    <w:p w14:paraId="134826F4" w14:textId="77777777" w:rsidR="00175C75" w:rsidRDefault="00AB7609">
      <w:pPr>
        <w:pStyle w:val="a6"/>
        <w:numPr>
          <w:ilvl w:val="0"/>
          <w:numId w:val="2"/>
        </w:numPr>
        <w:spacing w:before="0"/>
      </w:pPr>
      <w:r>
        <w:t>акционерами</w:t>
      </w:r>
    </w:p>
    <w:p w14:paraId="520B206D" w14:textId="77777777" w:rsidR="00175C75" w:rsidRDefault="00AB7609">
      <w:pPr>
        <w:pStyle w:val="a6"/>
        <w:numPr>
          <w:ilvl w:val="0"/>
          <w:numId w:val="2"/>
        </w:numPr>
        <w:spacing w:before="42"/>
      </w:pPr>
      <w:r>
        <w:t>клиентами/поставщиками</w:t>
      </w:r>
    </w:p>
    <w:p w14:paraId="0FE7E1DF" w14:textId="77777777" w:rsidR="00175C75" w:rsidRDefault="00AB7609">
      <w:pPr>
        <w:pStyle w:val="a6"/>
        <w:numPr>
          <w:ilvl w:val="0"/>
          <w:numId w:val="2"/>
        </w:numPr>
      </w:pPr>
      <w:r>
        <w:t>государственными</w:t>
      </w:r>
      <w:r>
        <w:t xml:space="preserve"> </w:t>
      </w:r>
      <w:r>
        <w:t>органами</w:t>
      </w:r>
    </w:p>
    <w:p w14:paraId="4DD0ED8B" w14:textId="77777777" w:rsidR="00175C75" w:rsidRDefault="00AB7609">
      <w:pPr>
        <w:pStyle w:val="a6"/>
        <w:numPr>
          <w:ilvl w:val="0"/>
          <w:numId w:val="2"/>
        </w:numPr>
        <w:spacing w:before="41"/>
      </w:pPr>
      <w:r>
        <w:t>кредиторами</w:t>
      </w:r>
    </w:p>
    <w:p w14:paraId="6335DCEA" w14:textId="77777777" w:rsidR="00175C75" w:rsidRDefault="00AB7609">
      <w:pPr>
        <w:pStyle w:val="a6"/>
        <w:numPr>
          <w:ilvl w:val="0"/>
          <w:numId w:val="2"/>
        </w:numPr>
      </w:pPr>
      <w:r>
        <w:t>работниками (за ущемление своих</w:t>
      </w:r>
      <w:r>
        <w:t xml:space="preserve"> </w:t>
      </w:r>
      <w:r>
        <w:t>прав)</w:t>
      </w:r>
    </w:p>
    <w:p w14:paraId="2468DAAC" w14:textId="77777777" w:rsidR="00175C75" w:rsidRDefault="00175C75">
      <w:pPr>
        <w:pStyle w:val="Body"/>
        <w:sectPr w:rsidR="00175C75">
          <w:headerReference w:type="default" r:id="rId11"/>
          <w:pgSz w:w="11920" w:h="16840"/>
          <w:pgMar w:top="1920" w:right="740" w:bottom="280" w:left="1500" w:header="708" w:footer="0" w:gutter="0"/>
          <w:cols w:space="720"/>
        </w:sectPr>
      </w:pPr>
    </w:p>
    <w:p w14:paraId="6599ADE8" w14:textId="77777777" w:rsidR="00175C75" w:rsidRDefault="00175C75">
      <w:pPr>
        <w:pStyle w:val="a4"/>
        <w:spacing w:before="2"/>
        <w:rPr>
          <w:sz w:val="24"/>
          <w:szCs w:val="24"/>
        </w:rPr>
      </w:pPr>
    </w:p>
    <w:p w14:paraId="53B18AAD" w14:textId="77777777" w:rsidR="00175C75" w:rsidRDefault="00AB7609">
      <w:pPr>
        <w:pStyle w:val="Heading"/>
      </w:pPr>
      <w:r>
        <w:t>Сколько это стоит</w:t>
      </w:r>
      <w:r>
        <w:rPr>
          <w:lang w:val="zh-TW" w:eastAsia="zh-TW"/>
        </w:rPr>
        <w:t>?</w:t>
      </w:r>
    </w:p>
    <w:p w14:paraId="5D21F02E" w14:textId="77777777" w:rsidR="00175C75" w:rsidRDefault="00AB7609">
      <w:pPr>
        <w:pStyle w:val="a4"/>
        <w:spacing w:before="271" w:line="276" w:lineRule="auto"/>
        <w:ind w:left="202" w:right="108"/>
        <w:jc w:val="both"/>
      </w:pPr>
      <w:r>
        <w:rPr>
          <w:b/>
          <w:bCs/>
        </w:rPr>
        <w:t xml:space="preserve">Корпоративные полисы </w:t>
      </w:r>
      <w:r>
        <w:t>по страхованию всех директоров компании могут стоить примерно от 5-10 тыс. долл. за 1 млн. долл. ответственности в зависимости от истории компании, её финансового состояния, вида деятельности, географии операций, наличия или отсутствия листинга её ценных б</w:t>
      </w:r>
      <w:r>
        <w:t>умаг в различных юрисдикциях.</w:t>
      </w:r>
    </w:p>
    <w:p w14:paraId="7A07ECAC" w14:textId="77777777" w:rsidR="00175C75" w:rsidRDefault="00175C75">
      <w:pPr>
        <w:pStyle w:val="a4"/>
        <w:spacing w:before="7"/>
        <w:rPr>
          <w:sz w:val="16"/>
          <w:szCs w:val="16"/>
        </w:rPr>
      </w:pPr>
    </w:p>
    <w:p w14:paraId="1D0F8C21" w14:textId="77777777" w:rsidR="00175C75" w:rsidRDefault="00AB7609">
      <w:pPr>
        <w:pStyle w:val="Body"/>
        <w:ind w:left="202"/>
        <w:jc w:val="both"/>
      </w:pPr>
      <w:r>
        <w:t xml:space="preserve">Стоимость </w:t>
      </w:r>
      <w:r>
        <w:rPr>
          <w:b/>
          <w:bCs/>
        </w:rPr>
        <w:t xml:space="preserve">индивидуального страхования </w:t>
      </w:r>
      <w:r>
        <w:t>для членов АНД:</w:t>
      </w:r>
    </w:p>
    <w:p w14:paraId="787F9B63" w14:textId="77777777" w:rsidR="00175C75" w:rsidRDefault="00175C75">
      <w:pPr>
        <w:pStyle w:val="a4"/>
        <w:spacing w:before="4"/>
        <w:rPr>
          <w:sz w:val="21"/>
          <w:szCs w:val="21"/>
        </w:rPr>
      </w:pPr>
    </w:p>
    <w:tbl>
      <w:tblPr>
        <w:tblStyle w:val="TableNormal"/>
        <w:tblW w:w="919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1453"/>
        <w:gridCol w:w="1277"/>
        <w:gridCol w:w="1275"/>
        <w:gridCol w:w="1409"/>
      </w:tblGrid>
      <w:tr w:rsidR="00175C75" w:rsidRPr="00445DC9" w14:paraId="0C092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776" w:type="dxa"/>
            <w:tcBorders>
              <w:top w:val="nil"/>
              <w:left w:val="nil"/>
              <w:bottom w:val="single" w:sz="34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1728" w14:textId="77777777" w:rsidR="00175C75" w:rsidRPr="00445DC9" w:rsidRDefault="00175C75">
            <w:pPr>
              <w:rPr>
                <w:lang w:val="ru-RU"/>
              </w:rPr>
            </w:pPr>
          </w:p>
        </w:tc>
        <w:tc>
          <w:tcPr>
            <w:tcW w:w="5414" w:type="dxa"/>
            <w:gridSpan w:val="4"/>
            <w:tcBorders>
              <w:top w:val="nil"/>
              <w:left w:val="single" w:sz="8" w:space="0" w:color="FFFFFF"/>
              <w:bottom w:val="single" w:sz="34" w:space="0" w:color="FFFFFF"/>
              <w:right w:val="nil"/>
            </w:tcBorders>
            <w:shd w:val="clear" w:color="auto" w:fill="DDDDDD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A7A2C7B" w14:textId="77777777" w:rsidR="00175C75" w:rsidRDefault="00AB7609">
            <w:pPr>
              <w:pStyle w:val="TableParagraph"/>
              <w:spacing w:line="239" w:lineRule="exact"/>
            </w:pPr>
            <w:r>
              <w:rPr>
                <w:b/>
                <w:bCs/>
              </w:rPr>
              <w:t>Лимит возмещения (страховая сумма), руб.</w:t>
            </w:r>
          </w:p>
        </w:tc>
      </w:tr>
      <w:tr w:rsidR="00175C75" w14:paraId="58B45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776" w:type="dxa"/>
            <w:tcBorders>
              <w:top w:val="single" w:sz="3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F786" w14:textId="77777777" w:rsidR="00175C75" w:rsidRPr="00445DC9" w:rsidRDefault="00175C75">
            <w:pPr>
              <w:rPr>
                <w:lang w:val="ru-RU"/>
              </w:rPr>
            </w:pPr>
          </w:p>
        </w:tc>
        <w:tc>
          <w:tcPr>
            <w:tcW w:w="1453" w:type="dxa"/>
            <w:tcBorders>
              <w:top w:val="single" w:sz="3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1E92A1CE" w14:textId="77777777" w:rsidR="00175C75" w:rsidRDefault="00AB7609">
            <w:pPr>
              <w:pStyle w:val="TableParagraph"/>
              <w:spacing w:before="15"/>
            </w:pPr>
            <w:r>
              <w:t>1 000 000</w:t>
            </w:r>
          </w:p>
        </w:tc>
        <w:tc>
          <w:tcPr>
            <w:tcW w:w="1277" w:type="dxa"/>
            <w:tcBorders>
              <w:top w:val="single" w:sz="3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7A56124E" w14:textId="77777777" w:rsidR="00175C75" w:rsidRDefault="00AB7609">
            <w:pPr>
              <w:pStyle w:val="TableParagraph"/>
              <w:spacing w:before="15"/>
            </w:pPr>
            <w:r>
              <w:t>10 000 000</w:t>
            </w:r>
          </w:p>
        </w:tc>
        <w:tc>
          <w:tcPr>
            <w:tcW w:w="1275" w:type="dxa"/>
            <w:tcBorders>
              <w:top w:val="single" w:sz="3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53093C8F" w14:textId="77777777" w:rsidR="00175C75" w:rsidRDefault="00AB7609">
            <w:pPr>
              <w:pStyle w:val="TableParagraph"/>
              <w:spacing w:before="15"/>
              <w:ind w:left="84"/>
            </w:pPr>
            <w:r>
              <w:t>30 000 000</w:t>
            </w:r>
          </w:p>
        </w:tc>
        <w:tc>
          <w:tcPr>
            <w:tcW w:w="1408" w:type="dxa"/>
            <w:tcBorders>
              <w:top w:val="single" w:sz="3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1F1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4652E77" w14:textId="77777777" w:rsidR="00175C75" w:rsidRDefault="00AB7609">
            <w:pPr>
              <w:pStyle w:val="TableParagraph"/>
              <w:spacing w:before="15"/>
              <w:ind w:left="84"/>
            </w:pPr>
            <w:r>
              <w:t>50 000 000</w:t>
            </w:r>
          </w:p>
        </w:tc>
      </w:tr>
      <w:tr w:rsidR="00175C75" w14:paraId="07BB3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798E" w14:textId="77777777" w:rsidR="00175C75" w:rsidRDefault="00175C75"/>
        </w:tc>
        <w:tc>
          <w:tcPr>
            <w:tcW w:w="541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8F8F8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6139F6BB" w14:textId="77777777" w:rsidR="00175C75" w:rsidRDefault="00AB7609">
            <w:pPr>
              <w:pStyle w:val="TableParagraph"/>
              <w:spacing w:before="28"/>
            </w:pPr>
            <w:r>
              <w:t>Стоимость (страховая премия), руб.</w:t>
            </w:r>
          </w:p>
        </w:tc>
      </w:tr>
      <w:tr w:rsidR="00175C75" w14:paraId="5B053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37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A9B5" w14:textId="77777777" w:rsidR="00175C75" w:rsidRDefault="00175C75">
            <w:pPr>
              <w:pStyle w:val="TableParagraph"/>
              <w:spacing w:before="0" w:line="240" w:lineRule="auto"/>
              <w:ind w:left="0"/>
            </w:pPr>
          </w:p>
          <w:p w14:paraId="42934DF6" w14:textId="77777777" w:rsidR="00175C75" w:rsidRDefault="00175C75">
            <w:pPr>
              <w:pStyle w:val="TableParagraph"/>
              <w:spacing w:before="11" w:line="240" w:lineRule="auto"/>
              <w:ind w:left="0"/>
            </w:pPr>
          </w:p>
          <w:p w14:paraId="28229B9A" w14:textId="079C665E" w:rsidR="00175C75" w:rsidRDefault="00445DC9">
            <w:pPr>
              <w:pStyle w:val="TableParagraph"/>
              <w:spacing w:before="0"/>
              <w:ind w:left="88"/>
            </w:pPr>
            <w:r>
              <w:rPr>
                <w:b/>
                <w:bCs/>
              </w:rPr>
              <w:t>В</w:t>
            </w:r>
            <w:r w:rsidR="00AB7609">
              <w:rPr>
                <w:b/>
                <w:bCs/>
              </w:rPr>
              <w:t>сем членам АНД</w:t>
            </w: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0" w:type="dxa"/>
              <w:left w:w="165" w:type="dxa"/>
              <w:bottom w:w="80" w:type="dxa"/>
              <w:right w:w="437" w:type="dxa"/>
            </w:tcMar>
          </w:tcPr>
          <w:p w14:paraId="52B8367D" w14:textId="77777777" w:rsidR="00175C75" w:rsidRDefault="00AB7609" w:rsidP="00445DC9">
            <w:pPr>
              <w:pStyle w:val="TableParagraph"/>
              <w:spacing w:before="11" w:line="240" w:lineRule="auto"/>
              <w:ind w:right="-340"/>
            </w:pPr>
            <w:r>
              <w:t xml:space="preserve">бесплатно </w:t>
            </w:r>
            <w:r>
              <w:t>(с 1 июля</w:t>
            </w:r>
          </w:p>
          <w:p w14:paraId="000F478F" w14:textId="77777777" w:rsidR="00175C75" w:rsidRDefault="00AB7609" w:rsidP="00445DC9">
            <w:pPr>
              <w:pStyle w:val="TableParagraph"/>
              <w:spacing w:before="0"/>
              <w:ind w:right="-340"/>
            </w:pPr>
            <w:r>
              <w:t>2017 года)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8ECDF" w14:textId="77777777" w:rsidR="00175C75" w:rsidRDefault="00175C75">
            <w:pPr>
              <w:pStyle w:val="TableParagraph"/>
              <w:spacing w:before="0" w:line="240" w:lineRule="auto"/>
              <w:ind w:left="0"/>
            </w:pPr>
          </w:p>
          <w:p w14:paraId="53E4227E" w14:textId="77777777" w:rsidR="00175C75" w:rsidRDefault="00175C75">
            <w:pPr>
              <w:pStyle w:val="TableParagraph"/>
              <w:spacing w:before="11" w:line="240" w:lineRule="auto"/>
              <w:ind w:left="0"/>
            </w:pPr>
          </w:p>
          <w:p w14:paraId="720C306F" w14:textId="77777777" w:rsidR="00175C75" w:rsidRDefault="00AB7609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0B68" w14:textId="77777777" w:rsidR="00175C75" w:rsidRDefault="00175C75">
            <w:pPr>
              <w:pStyle w:val="TableParagraph"/>
              <w:spacing w:before="0" w:line="240" w:lineRule="auto"/>
              <w:ind w:left="0"/>
            </w:pPr>
          </w:p>
          <w:p w14:paraId="34E18300" w14:textId="77777777" w:rsidR="00175C75" w:rsidRDefault="00175C75">
            <w:pPr>
              <w:pStyle w:val="TableParagraph"/>
              <w:spacing w:before="11" w:line="240" w:lineRule="auto"/>
              <w:ind w:left="0"/>
            </w:pPr>
          </w:p>
          <w:p w14:paraId="4A6B7842" w14:textId="77777777" w:rsidR="00175C75" w:rsidRDefault="00AB7609">
            <w:pPr>
              <w:pStyle w:val="TableParagraph"/>
              <w:spacing w:before="0"/>
              <w:ind w:left="84"/>
            </w:pPr>
            <w:r>
              <w:t>-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4CFA" w14:textId="77777777" w:rsidR="00175C75" w:rsidRDefault="00175C75">
            <w:pPr>
              <w:pStyle w:val="TableParagraph"/>
              <w:spacing w:before="0" w:line="240" w:lineRule="auto"/>
              <w:ind w:left="0"/>
            </w:pPr>
          </w:p>
          <w:p w14:paraId="1F22D3DC" w14:textId="77777777" w:rsidR="00175C75" w:rsidRDefault="00175C75">
            <w:pPr>
              <w:pStyle w:val="TableParagraph"/>
              <w:spacing w:before="11" w:line="240" w:lineRule="auto"/>
              <w:ind w:left="0"/>
            </w:pPr>
          </w:p>
          <w:p w14:paraId="16266BE0" w14:textId="77777777" w:rsidR="00175C75" w:rsidRDefault="00AB7609">
            <w:pPr>
              <w:pStyle w:val="TableParagraph"/>
              <w:spacing w:before="0"/>
              <w:ind w:left="84"/>
            </w:pPr>
            <w:r>
              <w:t>-</w:t>
            </w:r>
          </w:p>
        </w:tc>
      </w:tr>
      <w:tr w:rsidR="00175C75" w14:paraId="3859D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25F2FC8" w14:textId="62D10C3A" w:rsidR="00175C75" w:rsidRDefault="00445DC9" w:rsidP="00445DC9">
            <w:pPr>
              <w:pStyle w:val="TableParagraph"/>
            </w:pPr>
            <w:r>
              <w:rPr>
                <w:b/>
                <w:bCs/>
              </w:rPr>
              <w:t>В</w:t>
            </w:r>
            <w:r w:rsidR="00AB7609">
              <w:rPr>
                <w:b/>
                <w:bCs/>
              </w:rPr>
              <w:t>сем членам АНД</w:t>
            </w: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8B90C88" w14:textId="77777777" w:rsidR="00175C75" w:rsidRDefault="00AB7609">
            <w:pPr>
              <w:pStyle w:val="TableParagraph"/>
            </w:pPr>
            <w: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7E22A76D" w14:textId="77777777" w:rsidR="00175C75" w:rsidRDefault="00AB7609">
            <w:pPr>
              <w:pStyle w:val="TableParagraph"/>
            </w:pPr>
            <w:r>
              <w:t>30 000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8F8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127E01A1" w14:textId="77777777" w:rsidR="00175C75" w:rsidRDefault="00AB7609">
            <w:pPr>
              <w:pStyle w:val="TableParagraph"/>
              <w:ind w:left="84"/>
            </w:pPr>
            <w:r>
              <w:t>70 000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8F8F8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071128E0" w14:textId="77777777" w:rsidR="00175C75" w:rsidRDefault="00AB7609">
            <w:pPr>
              <w:pStyle w:val="TableParagraph"/>
              <w:ind w:left="84"/>
            </w:pPr>
            <w:r>
              <w:t>95 000</w:t>
            </w:r>
          </w:p>
        </w:tc>
      </w:tr>
      <w:tr w:rsidR="00175C75" w14:paraId="0A9EE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690EAD9D" w14:textId="70673B66" w:rsidR="00175C75" w:rsidRDefault="00445DC9">
            <w:pPr>
              <w:pStyle w:val="TableParagraph"/>
              <w:ind w:left="88"/>
            </w:pPr>
            <w:proofErr w:type="gramStart"/>
            <w:r>
              <w:rPr>
                <w:b/>
                <w:bCs/>
              </w:rPr>
              <w:t>Ч</w:t>
            </w:r>
            <w:r w:rsidR="00AB7609">
              <w:rPr>
                <w:b/>
                <w:bCs/>
              </w:rPr>
              <w:t>ленам АНД</w:t>
            </w:r>
            <w:proofErr w:type="gramEnd"/>
            <w:r w:rsidR="00AB7609">
              <w:rPr>
                <w:b/>
                <w:bCs/>
              </w:rPr>
              <w:t xml:space="preserve"> прошедшим курс </w:t>
            </w:r>
            <w:r>
              <w:rPr>
                <w:b/>
                <w:bCs/>
              </w:rPr>
              <w:t>«Независимый директор»</w:t>
            </w:r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73275286" w14:textId="77777777" w:rsidR="00175C75" w:rsidRDefault="00AB7609">
            <w:pPr>
              <w:pStyle w:val="TableParagraph"/>
            </w:pPr>
            <w: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695CD80" w14:textId="77777777" w:rsidR="00175C75" w:rsidRDefault="00AB7609">
            <w:pPr>
              <w:pStyle w:val="TableParagraph"/>
            </w:pPr>
            <w:r>
              <w:t>25 000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BF973D9" w14:textId="77777777" w:rsidR="00175C75" w:rsidRDefault="00AB7609">
            <w:pPr>
              <w:pStyle w:val="TableParagraph"/>
              <w:ind w:left="84"/>
            </w:pPr>
            <w:r>
              <w:t>60 000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1F1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BDE4F8F" w14:textId="77777777" w:rsidR="00175C75" w:rsidRDefault="00AB7609">
            <w:pPr>
              <w:pStyle w:val="TableParagraph"/>
              <w:ind w:left="84"/>
            </w:pPr>
            <w:r>
              <w:t>85 000</w:t>
            </w:r>
          </w:p>
        </w:tc>
      </w:tr>
      <w:tr w:rsidR="00175C75" w14:paraId="40305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7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DDDDD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0C2B158C" w14:textId="30E57EC7" w:rsidR="00175C75" w:rsidRDefault="00445DC9">
            <w:pPr>
              <w:pStyle w:val="TableParagraph"/>
              <w:spacing w:line="252" w:lineRule="exact"/>
              <w:ind w:left="88"/>
            </w:pPr>
            <w:proofErr w:type="gramStart"/>
            <w:r>
              <w:rPr>
                <w:b/>
                <w:bCs/>
              </w:rPr>
              <w:t>Ч</w:t>
            </w:r>
            <w:r w:rsidR="00AB7609">
              <w:rPr>
                <w:b/>
                <w:bCs/>
              </w:rPr>
              <w:t>ленам АНД</w:t>
            </w:r>
            <w:proofErr w:type="gramEnd"/>
            <w:r w:rsidR="00AB7609">
              <w:rPr>
                <w:b/>
                <w:bCs/>
              </w:rPr>
              <w:t xml:space="preserve"> прошедшим курс </w:t>
            </w:r>
            <w:proofErr w:type="spellStart"/>
            <w:r w:rsidR="00AB7609">
              <w:rPr>
                <w:b/>
                <w:bCs/>
              </w:rPr>
              <w:t>IoD</w:t>
            </w:r>
            <w:proofErr w:type="spellEnd"/>
          </w:p>
        </w:tc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8F8F8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6BE64D16" w14:textId="77777777" w:rsidR="00175C75" w:rsidRDefault="00AB7609">
            <w:pPr>
              <w:pStyle w:val="TableParagraph"/>
              <w:spacing w:line="252" w:lineRule="exact"/>
            </w:pPr>
            <w:r>
              <w:t>-</w:t>
            </w:r>
          </w:p>
        </w:tc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8F8F8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7D282BCA" w14:textId="77777777" w:rsidR="00175C75" w:rsidRDefault="00AB7609">
            <w:pPr>
              <w:pStyle w:val="TableParagraph"/>
              <w:spacing w:line="252" w:lineRule="exact"/>
            </w:pPr>
            <w:r>
              <w:t>20 000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8F8F8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0924ECAE" w14:textId="77777777" w:rsidR="00175C75" w:rsidRDefault="00AB7609">
            <w:pPr>
              <w:pStyle w:val="TableParagraph"/>
              <w:spacing w:line="252" w:lineRule="exact"/>
              <w:ind w:left="84"/>
            </w:pPr>
            <w:r>
              <w:t>45 000</w:t>
            </w:r>
          </w:p>
        </w:tc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8F8F8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68989245" w14:textId="77777777" w:rsidR="00175C75" w:rsidRDefault="00AB7609">
            <w:pPr>
              <w:pStyle w:val="TableParagraph"/>
              <w:spacing w:line="252" w:lineRule="exact"/>
              <w:ind w:left="84"/>
            </w:pPr>
            <w:r>
              <w:t>65 000</w:t>
            </w:r>
          </w:p>
        </w:tc>
      </w:tr>
    </w:tbl>
    <w:p w14:paraId="18952252" w14:textId="77777777" w:rsidR="00175C75" w:rsidRDefault="00175C75">
      <w:pPr>
        <w:pStyle w:val="a4"/>
        <w:spacing w:before="4"/>
        <w:ind w:left="2" w:hanging="2"/>
        <w:rPr>
          <w:sz w:val="21"/>
          <w:szCs w:val="21"/>
        </w:rPr>
      </w:pPr>
    </w:p>
    <w:p w14:paraId="2C527337" w14:textId="77777777" w:rsidR="00175C75" w:rsidRDefault="00175C75">
      <w:pPr>
        <w:pStyle w:val="a4"/>
      </w:pPr>
    </w:p>
    <w:p w14:paraId="721ACD22" w14:textId="77777777" w:rsidR="00175C75" w:rsidRDefault="00175C75">
      <w:pPr>
        <w:pStyle w:val="a4"/>
        <w:spacing w:before="2"/>
        <w:rPr>
          <w:sz w:val="21"/>
          <w:szCs w:val="21"/>
        </w:rPr>
      </w:pPr>
    </w:p>
    <w:p w14:paraId="093C8E7C" w14:textId="77777777" w:rsidR="00175C75" w:rsidRDefault="00AB7609">
      <w:pPr>
        <w:pStyle w:val="a4"/>
        <w:spacing w:line="276" w:lineRule="auto"/>
        <w:ind w:left="202" w:right="103"/>
        <w:jc w:val="both"/>
      </w:pPr>
      <w:r>
        <w:t>Страховая компания Ингосстрах</w:t>
      </w:r>
      <w:r>
        <w:t xml:space="preserve"> выпускает групповой полис страхования членов АНД. Для подключения к программе, член АНД должен заполнить вопросник и отправить его в АНД </w:t>
      </w:r>
      <w:hyperlink r:id="rId12" w:history="1">
        <w:r w:rsidRPr="00445DC9">
          <w:rPr>
            <w:rStyle w:val="Hyperlink0"/>
          </w:rPr>
          <w:t>Владимиру Кремеру</w:t>
        </w:r>
      </w:hyperlink>
      <w:r w:rsidRPr="00445DC9">
        <w:rPr>
          <w:rStyle w:val="Hyperlink0"/>
          <w:u w:val="none"/>
        </w:rPr>
        <w:t xml:space="preserve"> </w:t>
      </w:r>
      <w:r>
        <w:rPr>
          <w:rStyle w:val="None"/>
        </w:rPr>
        <w:t xml:space="preserve">или </w:t>
      </w:r>
      <w:hyperlink r:id="rId13" w:history="1">
        <w:r w:rsidRPr="00445DC9">
          <w:rPr>
            <w:rStyle w:val="Hyperlink0"/>
          </w:rPr>
          <w:t>Оксане Арсеньевой</w:t>
        </w:r>
      </w:hyperlink>
      <w:r>
        <w:rPr>
          <w:rStyle w:val="None"/>
        </w:rPr>
        <w:t>. При условии положительного ре</w:t>
      </w:r>
      <w:r>
        <w:rPr>
          <w:rStyle w:val="None"/>
        </w:rPr>
        <w:t>шения СПАО «Ингосстрах» по результатам рассмотрения заявления на подключение к программе, заявитель получит подтверждение о подключении к программе сроком на один год, на вышеуказанных условиях.</w:t>
      </w:r>
    </w:p>
    <w:p w14:paraId="7332EBB5" w14:textId="77777777" w:rsidR="00175C75" w:rsidRDefault="00175C75">
      <w:pPr>
        <w:pStyle w:val="Body"/>
        <w:spacing w:line="276" w:lineRule="auto"/>
        <w:jc w:val="both"/>
        <w:sectPr w:rsidR="00175C75">
          <w:headerReference w:type="default" r:id="rId14"/>
          <w:pgSz w:w="11920" w:h="16840"/>
          <w:pgMar w:top="1920" w:right="740" w:bottom="280" w:left="1500" w:header="708" w:footer="0" w:gutter="0"/>
          <w:cols w:space="720"/>
        </w:sectPr>
      </w:pPr>
    </w:p>
    <w:p w14:paraId="03897598" w14:textId="77777777" w:rsidR="00175C75" w:rsidRDefault="00175C75">
      <w:pPr>
        <w:pStyle w:val="a4"/>
        <w:spacing w:before="2"/>
        <w:rPr>
          <w:rStyle w:val="None"/>
          <w:sz w:val="24"/>
          <w:szCs w:val="24"/>
        </w:rPr>
      </w:pPr>
    </w:p>
    <w:p w14:paraId="4B70FEFE" w14:textId="77777777" w:rsidR="00175C75" w:rsidRDefault="00AB7609">
      <w:pPr>
        <w:pStyle w:val="Heading"/>
      </w:pPr>
      <w:r>
        <w:rPr>
          <w:rStyle w:val="None"/>
        </w:rPr>
        <w:t>Мифы об ответственности директоров</w:t>
      </w:r>
    </w:p>
    <w:p w14:paraId="48F327A5" w14:textId="1405DAD4" w:rsidR="00175C75" w:rsidRDefault="00AB7609">
      <w:pPr>
        <w:pStyle w:val="a4"/>
        <w:spacing w:before="271" w:line="276" w:lineRule="auto"/>
        <w:ind w:left="202" w:right="106"/>
        <w:jc w:val="both"/>
      </w:pPr>
      <w:r>
        <w:rPr>
          <w:rStyle w:val="None"/>
          <w:b/>
          <w:bCs/>
        </w:rPr>
        <w:t>Отв</w:t>
      </w:r>
      <w:r>
        <w:rPr>
          <w:rStyle w:val="None"/>
          <w:b/>
          <w:bCs/>
        </w:rPr>
        <w:t xml:space="preserve">етственность директора ограничена? </w:t>
      </w:r>
      <w:r>
        <w:rPr>
          <w:rStyle w:val="None"/>
        </w:rPr>
        <w:t>В большинстве случаев ответственность директора по закону ничем не ограничена (кроме размера ущерба к возмещению). Кроме того</w:t>
      </w:r>
      <w:r w:rsidR="00445DC9">
        <w:rPr>
          <w:rStyle w:val="None"/>
        </w:rPr>
        <w:t>,</w:t>
      </w:r>
      <w:r>
        <w:rPr>
          <w:rStyle w:val="None"/>
        </w:rPr>
        <w:t xml:space="preserve"> помимо возмещения ущерба третьим лицам, директору придётся понести расходы на юридическую защит</w:t>
      </w:r>
      <w:r>
        <w:rPr>
          <w:rStyle w:val="None"/>
        </w:rPr>
        <w:t>у. Чтобы доказать свою невиновность директорам нередко приходится тратить миллионы рублей.</w:t>
      </w:r>
    </w:p>
    <w:p w14:paraId="3344C8D2" w14:textId="77777777" w:rsidR="00175C75" w:rsidRDefault="00175C75">
      <w:pPr>
        <w:pStyle w:val="a4"/>
        <w:spacing w:before="5"/>
        <w:rPr>
          <w:rStyle w:val="None"/>
          <w:sz w:val="16"/>
          <w:szCs w:val="16"/>
        </w:rPr>
      </w:pPr>
    </w:p>
    <w:p w14:paraId="70D8FEFF" w14:textId="27376AB8" w:rsidR="00175C75" w:rsidRDefault="00AB7609">
      <w:pPr>
        <w:pStyle w:val="a4"/>
        <w:spacing w:before="1" w:line="276" w:lineRule="auto"/>
        <w:ind w:left="202" w:right="104"/>
        <w:jc w:val="both"/>
      </w:pPr>
      <w:r>
        <w:rPr>
          <w:rStyle w:val="None"/>
          <w:b/>
          <w:bCs/>
        </w:rPr>
        <w:t xml:space="preserve">Компания всегда защитит директора? </w:t>
      </w:r>
      <w:r>
        <w:rPr>
          <w:rStyle w:val="None"/>
        </w:rPr>
        <w:t xml:space="preserve">Пока договоры о возмещении убытков компанией не </w:t>
      </w:r>
      <w:r>
        <w:rPr>
          <w:rStyle w:val="None"/>
        </w:rPr>
        <w:t xml:space="preserve">очень распространены в России (хотя считаются </w:t>
      </w:r>
      <w:proofErr w:type="spellStart"/>
      <w:r>
        <w:rPr>
          <w:rStyle w:val="None"/>
        </w:rPr>
        <w:t>best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practice</w:t>
      </w:r>
      <w:proofErr w:type="spellEnd"/>
      <w:r>
        <w:rPr>
          <w:rStyle w:val="None"/>
        </w:rPr>
        <w:t xml:space="preserve"> по всему миру). Кром</w:t>
      </w:r>
      <w:r>
        <w:rPr>
          <w:rStyle w:val="None"/>
        </w:rPr>
        <w:t>е того, даже если компания решит возместить убытки директора, она может не смочь сделать этого в силу финансовой несостоятельности или законодательного запрета. Кроме того, компания сама может подать в суд на</w:t>
      </w:r>
      <w:r>
        <w:rPr>
          <w:rStyle w:val="None"/>
        </w:rPr>
        <w:t xml:space="preserve"> </w:t>
      </w:r>
      <w:r>
        <w:rPr>
          <w:rStyle w:val="None"/>
        </w:rPr>
        <w:t>директора.</w:t>
      </w:r>
    </w:p>
    <w:p w14:paraId="4FBB6D41" w14:textId="77777777" w:rsidR="00175C75" w:rsidRDefault="00175C75">
      <w:pPr>
        <w:pStyle w:val="a4"/>
        <w:spacing w:before="5"/>
        <w:rPr>
          <w:rStyle w:val="None"/>
          <w:sz w:val="16"/>
          <w:szCs w:val="16"/>
        </w:rPr>
      </w:pPr>
    </w:p>
    <w:p w14:paraId="645B30C0" w14:textId="77777777" w:rsidR="00175C75" w:rsidRDefault="00AB7609">
      <w:pPr>
        <w:pStyle w:val="a4"/>
        <w:spacing w:before="1" w:line="276" w:lineRule="auto"/>
        <w:ind w:left="202" w:right="104"/>
        <w:jc w:val="both"/>
      </w:pPr>
      <w:r>
        <w:rPr>
          <w:rStyle w:val="None"/>
          <w:b/>
          <w:bCs/>
        </w:rPr>
        <w:t>Против директоров мелких компаний и</w:t>
      </w:r>
      <w:r>
        <w:rPr>
          <w:rStyle w:val="None"/>
          <w:b/>
          <w:bCs/>
        </w:rPr>
        <w:t xml:space="preserve">ски не подают? </w:t>
      </w:r>
      <w:r>
        <w:rPr>
          <w:rStyle w:val="None"/>
        </w:rPr>
        <w:t>Размер компании никак не связан с объёмом потенциальных проблем. Их тоже проверяет налоговая. Но мелкие компании не обладают значительными ресурсами крупных компаний, соответственно вероятность того, что директору придётся платить за себя са</w:t>
      </w:r>
      <w:r>
        <w:rPr>
          <w:rStyle w:val="None"/>
        </w:rPr>
        <w:t>мому, существенно возрастает.</w:t>
      </w:r>
    </w:p>
    <w:p w14:paraId="196A234C" w14:textId="77777777" w:rsidR="00175C75" w:rsidRDefault="00175C75">
      <w:pPr>
        <w:pStyle w:val="a4"/>
        <w:spacing w:before="4"/>
        <w:rPr>
          <w:rStyle w:val="None"/>
          <w:sz w:val="16"/>
          <w:szCs w:val="16"/>
        </w:rPr>
      </w:pPr>
    </w:p>
    <w:p w14:paraId="17D8E384" w14:textId="77777777" w:rsidR="00175C75" w:rsidRDefault="00AB7609">
      <w:pPr>
        <w:pStyle w:val="a4"/>
        <w:spacing w:line="276" w:lineRule="auto"/>
        <w:ind w:left="202" w:right="104"/>
        <w:jc w:val="both"/>
      </w:pPr>
      <w:r>
        <w:rPr>
          <w:rStyle w:val="None"/>
          <w:b/>
          <w:bCs/>
        </w:rPr>
        <w:t xml:space="preserve">Я больше не работаю в этой компании, поэтому иск против меня не подадут? </w:t>
      </w:r>
      <w:r>
        <w:rPr>
          <w:rStyle w:val="None"/>
        </w:rPr>
        <w:t>Очень часто требуется время для того, чтобы вскрыть последствия неправильных действий, поэтому иски обычно подаются значительно позже даты непосредствен</w:t>
      </w:r>
      <w:r>
        <w:rPr>
          <w:rStyle w:val="None"/>
        </w:rPr>
        <w:t>но действия, вызвавшего ущерб. Кроме того, в случае смены руководства очень часто упущения прежних руководителей выявляются с особым рвением – никто не хочет отвечать за чужие ошибки!</w:t>
      </w:r>
    </w:p>
    <w:p w14:paraId="769D0EAC" w14:textId="77777777" w:rsidR="00175C75" w:rsidRDefault="00175C75">
      <w:pPr>
        <w:pStyle w:val="a4"/>
        <w:spacing w:before="3"/>
        <w:rPr>
          <w:rStyle w:val="None"/>
          <w:sz w:val="16"/>
          <w:szCs w:val="16"/>
        </w:rPr>
      </w:pPr>
    </w:p>
    <w:p w14:paraId="0248E6E2" w14:textId="3F0112B4" w:rsidR="00175C75" w:rsidRDefault="00AB7609">
      <w:pPr>
        <w:pStyle w:val="a4"/>
        <w:spacing w:line="278" w:lineRule="auto"/>
        <w:ind w:left="202" w:right="104"/>
        <w:jc w:val="both"/>
      </w:pPr>
      <w:r>
        <w:rPr>
          <w:rStyle w:val="None"/>
          <w:b/>
          <w:bCs/>
        </w:rPr>
        <w:t xml:space="preserve">Против членов совета директоров иски не подают? </w:t>
      </w:r>
      <w:r>
        <w:rPr>
          <w:rStyle w:val="None"/>
        </w:rPr>
        <w:t>В российской практике о</w:t>
      </w:r>
      <w:r>
        <w:rPr>
          <w:rStyle w:val="None"/>
        </w:rPr>
        <w:t>чень часто к ответственности привлекают председателя совета директоров*. Кроме того</w:t>
      </w:r>
      <w:r w:rsidR="00445DC9">
        <w:rPr>
          <w:rStyle w:val="None"/>
        </w:rPr>
        <w:t>,</w:t>
      </w:r>
      <w:r>
        <w:rPr>
          <w:rStyle w:val="None"/>
        </w:rPr>
        <w:t xml:space="preserve"> известны случаи, когда к ряду членов совета директоров</w:t>
      </w:r>
      <w:r w:rsidR="00445DC9">
        <w:rPr>
          <w:rStyle w:val="None"/>
        </w:rPr>
        <w:t>,</w:t>
      </w:r>
      <w:r>
        <w:rPr>
          <w:rStyle w:val="None"/>
        </w:rPr>
        <w:t xml:space="preserve"> голосовавших за сделку</w:t>
      </w:r>
      <w:r w:rsidR="00445DC9">
        <w:rPr>
          <w:rStyle w:val="None"/>
        </w:rPr>
        <w:t>,</w:t>
      </w:r>
      <w:r>
        <w:rPr>
          <w:rStyle w:val="None"/>
        </w:rPr>
        <w:t xml:space="preserve"> предъявлялись многомиллионные требования от миноритарных</w:t>
      </w:r>
      <w:r>
        <w:rPr>
          <w:rStyle w:val="None"/>
        </w:rPr>
        <w:t xml:space="preserve"> </w:t>
      </w:r>
      <w:r>
        <w:rPr>
          <w:rStyle w:val="None"/>
        </w:rPr>
        <w:t>акционеров.</w:t>
      </w:r>
    </w:p>
    <w:p w14:paraId="41CE0C19" w14:textId="77777777" w:rsidR="00175C75" w:rsidRDefault="00AB7609">
      <w:pPr>
        <w:pStyle w:val="Body"/>
        <w:spacing w:before="192" w:line="276" w:lineRule="auto"/>
        <w:ind w:left="202" w:right="102"/>
        <w:jc w:val="both"/>
        <w:rPr>
          <w:rStyle w:val="None"/>
        </w:rPr>
      </w:pPr>
      <w:r>
        <w:rPr>
          <w:rStyle w:val="None"/>
          <w:b/>
          <w:bCs/>
        </w:rPr>
        <w:t xml:space="preserve">Я голосую по </w:t>
      </w:r>
      <w:r>
        <w:rPr>
          <w:rStyle w:val="None"/>
          <w:b/>
          <w:bCs/>
        </w:rPr>
        <w:t>указанию акционеров</w:t>
      </w:r>
      <w:r>
        <w:rPr>
          <w:rStyle w:val="None"/>
          <w:b/>
          <w:bCs/>
        </w:rPr>
        <w:t xml:space="preserve">, </w:t>
      </w:r>
      <w:r>
        <w:rPr>
          <w:rStyle w:val="None"/>
          <w:b/>
          <w:bCs/>
        </w:rPr>
        <w:t>поэтому освобождён от ответственности</w:t>
      </w:r>
      <w:r>
        <w:rPr>
          <w:rStyle w:val="None"/>
          <w:b/>
          <w:bCs/>
          <w:lang w:val="zh-TW" w:eastAsia="zh-TW"/>
        </w:rPr>
        <w:t xml:space="preserve">? </w:t>
      </w:r>
      <w:r>
        <w:rPr>
          <w:rStyle w:val="None"/>
        </w:rPr>
        <w:t>Директор по закону обязан действовать в интересах компании</w:t>
      </w:r>
      <w:r>
        <w:rPr>
          <w:rStyle w:val="None"/>
        </w:rPr>
        <w:t xml:space="preserve">, </w:t>
      </w:r>
      <w:r>
        <w:rPr>
          <w:rStyle w:val="None"/>
        </w:rPr>
        <w:t>поэтому в случае конфликта интересов акционеров</w:t>
      </w:r>
      <w:r>
        <w:rPr>
          <w:rStyle w:val="None"/>
        </w:rPr>
        <w:t xml:space="preserve">, либо интересов акционеров и компании, </w:t>
      </w:r>
      <w:r>
        <w:rPr>
          <w:rStyle w:val="None"/>
        </w:rPr>
        <w:t>если будет доказано</w:t>
      </w:r>
      <w:r>
        <w:rPr>
          <w:rStyle w:val="None"/>
        </w:rPr>
        <w:t xml:space="preserve">, </w:t>
      </w:r>
      <w:r>
        <w:rPr>
          <w:rStyle w:val="None"/>
        </w:rPr>
        <w:t xml:space="preserve">что действия </w:t>
      </w:r>
      <w:r>
        <w:rPr>
          <w:rStyle w:val="None"/>
        </w:rPr>
        <w:t>директора по исполнению указания акционеров нанесли ущерб компании</w:t>
      </w:r>
      <w:r>
        <w:rPr>
          <w:rStyle w:val="None"/>
        </w:rPr>
        <w:t xml:space="preserve">, </w:t>
      </w:r>
      <w:r>
        <w:rPr>
          <w:rStyle w:val="None"/>
        </w:rPr>
        <w:t>директор может быть признан ответственным</w:t>
      </w:r>
    </w:p>
    <w:p w14:paraId="18B2E411" w14:textId="77777777" w:rsidR="00175C75" w:rsidRDefault="00175C75">
      <w:pPr>
        <w:pStyle w:val="a4"/>
        <w:spacing w:before="3"/>
        <w:rPr>
          <w:rStyle w:val="None"/>
          <w:sz w:val="16"/>
          <w:szCs w:val="16"/>
        </w:rPr>
      </w:pPr>
    </w:p>
    <w:p w14:paraId="21E42782" w14:textId="77777777" w:rsidR="00175C75" w:rsidRDefault="00AB7609">
      <w:pPr>
        <w:pStyle w:val="Body"/>
        <w:spacing w:line="278" w:lineRule="auto"/>
        <w:ind w:left="202" w:right="104"/>
        <w:jc w:val="both"/>
        <w:rPr>
          <w:rStyle w:val="None"/>
        </w:rPr>
      </w:pPr>
      <w:r>
        <w:rPr>
          <w:rStyle w:val="None"/>
          <w:b/>
          <w:bCs/>
        </w:rPr>
        <w:t>Я делегирую полномочия</w:t>
      </w:r>
      <w:r>
        <w:rPr>
          <w:rStyle w:val="None"/>
          <w:b/>
          <w:bCs/>
        </w:rPr>
        <w:t xml:space="preserve">, </w:t>
      </w:r>
      <w:r>
        <w:rPr>
          <w:rStyle w:val="None"/>
          <w:b/>
          <w:bCs/>
        </w:rPr>
        <w:t>это освобождает меня от ответственности</w:t>
      </w:r>
      <w:r>
        <w:rPr>
          <w:rStyle w:val="None"/>
          <w:b/>
          <w:bCs/>
          <w:lang w:val="zh-TW" w:eastAsia="zh-TW"/>
        </w:rPr>
        <w:t xml:space="preserve">? </w:t>
      </w:r>
      <w:r>
        <w:rPr>
          <w:rStyle w:val="None"/>
        </w:rPr>
        <w:t>Директор может делегировать полномочия</w:t>
      </w:r>
      <w:r>
        <w:rPr>
          <w:rStyle w:val="None"/>
        </w:rPr>
        <w:t xml:space="preserve">, </w:t>
      </w:r>
      <w:r>
        <w:rPr>
          <w:rStyle w:val="None"/>
        </w:rPr>
        <w:t>однако в большинстве случаев ответственн</w:t>
      </w:r>
      <w:r>
        <w:rPr>
          <w:rStyle w:val="None"/>
        </w:rPr>
        <w:t xml:space="preserve">ость за неправильные действия </w:t>
      </w:r>
      <w:r>
        <w:rPr>
          <w:rStyle w:val="None"/>
        </w:rPr>
        <w:t>(</w:t>
      </w:r>
      <w:r>
        <w:rPr>
          <w:rStyle w:val="None"/>
        </w:rPr>
        <w:t>даже по доверенности</w:t>
      </w:r>
      <w:r>
        <w:rPr>
          <w:rStyle w:val="None"/>
        </w:rPr>
        <w:t xml:space="preserve">) </w:t>
      </w:r>
      <w:r>
        <w:rPr>
          <w:rStyle w:val="None"/>
        </w:rPr>
        <w:t>по российскому праву делегировать нельзя</w:t>
      </w:r>
      <w:r>
        <w:rPr>
          <w:rStyle w:val="None"/>
        </w:rPr>
        <w:t>.</w:t>
      </w:r>
    </w:p>
    <w:p w14:paraId="48CC7D11" w14:textId="77777777" w:rsidR="00175C75" w:rsidRDefault="00175C75">
      <w:pPr>
        <w:pStyle w:val="a4"/>
      </w:pPr>
    </w:p>
    <w:p w14:paraId="67E6E305" w14:textId="77777777" w:rsidR="00175C75" w:rsidRDefault="00175C75">
      <w:pPr>
        <w:pStyle w:val="a4"/>
      </w:pPr>
    </w:p>
    <w:p w14:paraId="1FA01B99" w14:textId="77777777" w:rsidR="00175C75" w:rsidRDefault="00175C75">
      <w:pPr>
        <w:pStyle w:val="a4"/>
      </w:pPr>
    </w:p>
    <w:p w14:paraId="5C4F7BD2" w14:textId="77777777" w:rsidR="00175C75" w:rsidRDefault="00175C75">
      <w:pPr>
        <w:pStyle w:val="a4"/>
      </w:pPr>
    </w:p>
    <w:p w14:paraId="704E0CD0" w14:textId="77777777" w:rsidR="00175C75" w:rsidRDefault="00AB7609">
      <w:pPr>
        <w:pStyle w:val="a4"/>
        <w:spacing w:before="137"/>
        <w:ind w:left="202" w:right="108"/>
        <w:jc w:val="both"/>
      </w:pPr>
      <w:r>
        <w:rPr>
          <w:rStyle w:val="None"/>
        </w:rPr>
        <w:t>* - например по данным ЦБ о привлечении к ответственности бывших руководителей кредитных организаций</w:t>
      </w:r>
      <w:r>
        <w:t xml:space="preserve"> http://www.cbr.ru/vfs/credit/likvidbase/involvement.pdf</w:t>
      </w:r>
    </w:p>
    <w:p w14:paraId="7D4E8C7B" w14:textId="77777777" w:rsidR="00175C75" w:rsidRDefault="00175C75">
      <w:pPr>
        <w:pStyle w:val="Body"/>
        <w:jc w:val="both"/>
        <w:sectPr w:rsidR="00175C75">
          <w:headerReference w:type="default" r:id="rId15"/>
          <w:pgSz w:w="11920" w:h="16840"/>
          <w:pgMar w:top="1920" w:right="740" w:bottom="280" w:left="1500" w:header="708" w:footer="0" w:gutter="0"/>
          <w:cols w:space="720"/>
        </w:sectPr>
      </w:pPr>
    </w:p>
    <w:p w14:paraId="497053E1" w14:textId="77777777" w:rsidR="00175C75" w:rsidRDefault="00175C75">
      <w:pPr>
        <w:pStyle w:val="a4"/>
        <w:rPr>
          <w:rStyle w:val="None"/>
          <w:sz w:val="20"/>
          <w:szCs w:val="20"/>
        </w:rPr>
      </w:pPr>
    </w:p>
    <w:p w14:paraId="754EA8B1" w14:textId="77777777" w:rsidR="00175C75" w:rsidRDefault="00175C75">
      <w:pPr>
        <w:pStyle w:val="a4"/>
        <w:rPr>
          <w:rStyle w:val="None"/>
          <w:sz w:val="20"/>
          <w:szCs w:val="20"/>
        </w:rPr>
      </w:pPr>
    </w:p>
    <w:p w14:paraId="65AA72DA" w14:textId="77777777" w:rsidR="00175C75" w:rsidRDefault="00175C75">
      <w:pPr>
        <w:pStyle w:val="a4"/>
        <w:spacing w:before="11"/>
        <w:rPr>
          <w:rStyle w:val="None"/>
          <w:sz w:val="25"/>
          <w:szCs w:val="25"/>
        </w:rPr>
      </w:pPr>
    </w:p>
    <w:p w14:paraId="57050C68" w14:textId="77777777" w:rsidR="00175C75" w:rsidRDefault="00AB7609">
      <w:pPr>
        <w:pStyle w:val="Heading"/>
      </w:pPr>
      <w:r>
        <w:rPr>
          <w:rStyle w:val="None"/>
        </w:rPr>
        <w:t>Примеры страховых случаев</w:t>
      </w:r>
    </w:p>
    <w:p w14:paraId="77B9CB3E" w14:textId="77777777" w:rsidR="00175C75" w:rsidRDefault="00AB7609">
      <w:pPr>
        <w:pStyle w:val="2"/>
        <w:spacing w:before="273"/>
      </w:pPr>
      <w:r>
        <w:rPr>
          <w:rStyle w:val="None"/>
        </w:rPr>
        <w:t xml:space="preserve">Пример №1. </w:t>
      </w:r>
      <w:r>
        <w:rPr>
          <w:rStyle w:val="None"/>
        </w:rPr>
        <w:t>Заключение договоров на невыгодных условиях</w:t>
      </w:r>
    </w:p>
    <w:p w14:paraId="2DB70515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614ABE55" w14:textId="77777777" w:rsidR="00175C75" w:rsidRDefault="00AB7609">
      <w:pPr>
        <w:pStyle w:val="a4"/>
        <w:spacing w:line="276" w:lineRule="auto"/>
        <w:ind w:left="202" w:right="105"/>
        <w:jc w:val="both"/>
      </w:pPr>
      <w:r>
        <w:rPr>
          <w:rStyle w:val="None"/>
        </w:rPr>
        <w:t xml:space="preserve">Генеральным директором компании были подписаны договоры аренды по ценам ниже рыночных, и ниже тех, по которым эти же помещения были сданы в аренду в </w:t>
      </w:r>
      <w:r>
        <w:rPr>
          <w:rStyle w:val="None"/>
        </w:rPr>
        <w:t>предыдущие годы, а председателем совета директоров не были вынесены вопросы об одобрении сделок аренды на обсуждение общих собраний</w:t>
      </w:r>
      <w:r>
        <w:rPr>
          <w:rStyle w:val="None"/>
        </w:rPr>
        <w:t xml:space="preserve"> </w:t>
      </w:r>
      <w:r>
        <w:rPr>
          <w:rStyle w:val="None"/>
        </w:rPr>
        <w:t>акционеров.</w:t>
      </w:r>
    </w:p>
    <w:p w14:paraId="0B74BC91" w14:textId="77777777" w:rsidR="00175C75" w:rsidRDefault="00175C75">
      <w:pPr>
        <w:pStyle w:val="a4"/>
        <w:spacing w:before="4"/>
        <w:rPr>
          <w:rStyle w:val="None"/>
          <w:sz w:val="16"/>
          <w:szCs w:val="16"/>
        </w:rPr>
      </w:pPr>
    </w:p>
    <w:p w14:paraId="1872B98E" w14:textId="77777777" w:rsidR="00175C75" w:rsidRDefault="00AB7609">
      <w:pPr>
        <w:pStyle w:val="a4"/>
        <w:spacing w:before="1" w:line="276" w:lineRule="auto"/>
        <w:ind w:left="202" w:right="103"/>
        <w:jc w:val="both"/>
      </w:pPr>
      <w:r>
        <w:rPr>
          <w:rStyle w:val="None"/>
        </w:rPr>
        <w:t xml:space="preserve">К генеральному директору и председателю совета директоров акционером, владеющим 50% размещенных акций, </w:t>
      </w:r>
      <w:r>
        <w:rPr>
          <w:rStyle w:val="None"/>
        </w:rPr>
        <w:t>предъявлен иск о солидарном возмещении убытков в размере более 5 млн. руб. По мнению истца, ответчики недобросовестно исполняли свои обязанности в отношении общества, а именно - ответчиками были заключены договоры аренды помещений на невыгодных условиях, ч</w:t>
      </w:r>
      <w:r>
        <w:rPr>
          <w:rStyle w:val="None"/>
        </w:rPr>
        <w:t>то привело к причинению значительных убытков. Дело рассматривалось во всех судебных инстанциях. Судом действия ответчиков, которые привели к причинению убытков обществу, установлено не было. В ходе судебных разбирательств было выяснено, что сдаваемые в аре</w:t>
      </w:r>
      <w:r>
        <w:rPr>
          <w:rStyle w:val="None"/>
        </w:rPr>
        <w:t>нду помещения построены в 1912 г., и не являются офисными. На территории их размещения отсутствует возможность организации парковки автотранспорта, ограниченное количество телефонных линий. Суд решил, что указанные обстоятельства являются подтверждением то</w:t>
      </w:r>
      <w:r>
        <w:rPr>
          <w:rStyle w:val="None"/>
        </w:rPr>
        <w:t>го, что договора аренды не могли быть заключены на более выгодных условиях. Иск был отклонен.</w:t>
      </w:r>
    </w:p>
    <w:p w14:paraId="04453CE1" w14:textId="77777777" w:rsidR="00175C75" w:rsidRDefault="00175C75">
      <w:pPr>
        <w:pStyle w:val="a4"/>
        <w:spacing w:before="7"/>
        <w:rPr>
          <w:rStyle w:val="None"/>
          <w:sz w:val="16"/>
          <w:szCs w:val="16"/>
        </w:rPr>
      </w:pPr>
    </w:p>
    <w:p w14:paraId="6F3D315E" w14:textId="77777777" w:rsidR="00175C75" w:rsidRDefault="00AB7609">
      <w:pPr>
        <w:pStyle w:val="2"/>
        <w:spacing w:before="1"/>
      </w:pPr>
      <w:r>
        <w:rPr>
          <w:rStyle w:val="None"/>
        </w:rPr>
        <w:t xml:space="preserve">Как в данной ситуации работает полис </w:t>
      </w:r>
      <w:r>
        <w:rPr>
          <w:rStyle w:val="None"/>
        </w:rPr>
        <w:t>D&amp;O:</w:t>
      </w:r>
    </w:p>
    <w:p w14:paraId="199BD4BE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0A3D3E97" w14:textId="77777777" w:rsidR="00175C75" w:rsidRDefault="00AB7609">
      <w:pPr>
        <w:pStyle w:val="a4"/>
        <w:spacing w:line="278" w:lineRule="auto"/>
        <w:ind w:left="202" w:right="111"/>
        <w:jc w:val="both"/>
      </w:pPr>
      <w:r>
        <w:rPr>
          <w:rStyle w:val="None"/>
        </w:rPr>
        <w:t xml:space="preserve">Возмещение расходов на защиту (по оценке юристов в данном случае такие расходы могут составлять около </w:t>
      </w:r>
      <w:r>
        <w:rPr>
          <w:rStyle w:val="None"/>
          <w:b/>
          <w:bCs/>
        </w:rPr>
        <w:t>2 млн. руб</w:t>
      </w:r>
      <w:r>
        <w:rPr>
          <w:rStyle w:val="None"/>
        </w:rPr>
        <w:t>.)</w:t>
      </w:r>
    </w:p>
    <w:p w14:paraId="6A96D7DB" w14:textId="77777777" w:rsidR="00175C75" w:rsidRDefault="00175C75">
      <w:pPr>
        <w:pStyle w:val="Body"/>
        <w:spacing w:line="278" w:lineRule="auto"/>
        <w:jc w:val="both"/>
        <w:sectPr w:rsidR="00175C75">
          <w:headerReference w:type="default" r:id="rId16"/>
          <w:pgSz w:w="11920" w:h="16840"/>
          <w:pgMar w:top="1920" w:right="740" w:bottom="280" w:left="1500" w:header="708" w:footer="0" w:gutter="0"/>
          <w:cols w:space="720"/>
        </w:sectPr>
      </w:pPr>
    </w:p>
    <w:p w14:paraId="37E3E4D2" w14:textId="77777777" w:rsidR="00175C75" w:rsidRDefault="00175C75">
      <w:pPr>
        <w:pStyle w:val="a4"/>
        <w:spacing w:before="4"/>
        <w:rPr>
          <w:rStyle w:val="None"/>
          <w:sz w:val="21"/>
          <w:szCs w:val="21"/>
        </w:rPr>
      </w:pPr>
    </w:p>
    <w:p w14:paraId="3CCE1439" w14:textId="77777777" w:rsidR="00175C75" w:rsidRDefault="00AB7609">
      <w:pPr>
        <w:pStyle w:val="2"/>
        <w:jc w:val="left"/>
      </w:pPr>
      <w:r>
        <w:rPr>
          <w:rStyle w:val="None"/>
        </w:rPr>
        <w:t xml:space="preserve">Пример №2. </w:t>
      </w:r>
      <w:r>
        <w:rPr>
          <w:rStyle w:val="None"/>
        </w:rPr>
        <w:t>Нарушение порядка приобретения акций открытого общества</w:t>
      </w:r>
    </w:p>
    <w:p w14:paraId="48EA9092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69B8FDEA" w14:textId="77777777" w:rsidR="00175C75" w:rsidRDefault="00AB7609">
      <w:pPr>
        <w:pStyle w:val="a4"/>
        <w:spacing w:line="276" w:lineRule="auto"/>
        <w:ind w:left="202" w:right="106"/>
        <w:jc w:val="both"/>
      </w:pPr>
      <w:r>
        <w:rPr>
          <w:rStyle w:val="None"/>
        </w:rPr>
        <w:t xml:space="preserve">Акционер, который приобрел 30% акций открытого общества, </w:t>
      </w:r>
      <w:r>
        <w:rPr>
          <w:rStyle w:val="None"/>
        </w:rPr>
        <w:t>направил остальным акционерам публичную оферту о приобретении принадлежащих им акций (обязательное предложение). Одновременно с это офертой совет директоров направил акционерам и свои рекомендации, разработанные без учета мнения независимого аудитора.</w:t>
      </w:r>
    </w:p>
    <w:p w14:paraId="78F1E1C8" w14:textId="77777777" w:rsidR="00175C75" w:rsidRDefault="00175C75">
      <w:pPr>
        <w:pStyle w:val="a4"/>
        <w:spacing w:before="4"/>
        <w:rPr>
          <w:rStyle w:val="None"/>
          <w:sz w:val="16"/>
          <w:szCs w:val="16"/>
        </w:rPr>
      </w:pPr>
    </w:p>
    <w:p w14:paraId="726FA572" w14:textId="77777777" w:rsidR="00175C75" w:rsidRDefault="00AB7609">
      <w:pPr>
        <w:pStyle w:val="a4"/>
        <w:spacing w:line="276" w:lineRule="auto"/>
        <w:ind w:left="202" w:right="106"/>
        <w:jc w:val="both"/>
      </w:pPr>
      <w:r>
        <w:rPr>
          <w:rStyle w:val="None"/>
        </w:rPr>
        <w:t>Мин</w:t>
      </w:r>
      <w:r>
        <w:rPr>
          <w:rStyle w:val="None"/>
        </w:rPr>
        <w:t>оритарный акционер принял обязательное предложение, основываясь на полученной от совета директоров информации, и продал ценные бумаги. Впоследствии выяснилось, что стоимость продажи этих акций была значительно меньше рыночной стоимости, в результате чего а</w:t>
      </w:r>
      <w:r>
        <w:rPr>
          <w:rStyle w:val="None"/>
        </w:rPr>
        <w:t>кционер обратился в суд с иском к членам совета директоров о возмещении причиненных ему убытков.</w:t>
      </w:r>
    </w:p>
    <w:p w14:paraId="402B06EB" w14:textId="77777777" w:rsidR="00175C75" w:rsidRDefault="00175C75">
      <w:pPr>
        <w:pStyle w:val="a4"/>
        <w:spacing w:before="6"/>
        <w:rPr>
          <w:rStyle w:val="None"/>
          <w:sz w:val="16"/>
          <w:szCs w:val="16"/>
        </w:rPr>
      </w:pPr>
    </w:p>
    <w:p w14:paraId="4DB52CA1" w14:textId="77777777" w:rsidR="00175C75" w:rsidRDefault="00AB7609">
      <w:pPr>
        <w:pStyle w:val="a4"/>
        <w:spacing w:line="276" w:lineRule="auto"/>
        <w:ind w:left="202" w:right="111"/>
        <w:jc w:val="both"/>
      </w:pPr>
      <w:r>
        <w:rPr>
          <w:rStyle w:val="None"/>
        </w:rPr>
        <w:t>Судом вынесено решение о взыскании в пользу истца убытков в размере разницы между ценой приобретения и рыночной стоимостью.</w:t>
      </w:r>
    </w:p>
    <w:p w14:paraId="3A7DEC5D" w14:textId="77777777" w:rsidR="00175C75" w:rsidRDefault="00175C75">
      <w:pPr>
        <w:pStyle w:val="a4"/>
        <w:spacing w:before="5"/>
        <w:rPr>
          <w:rStyle w:val="None"/>
          <w:sz w:val="16"/>
          <w:szCs w:val="16"/>
        </w:rPr>
      </w:pPr>
    </w:p>
    <w:p w14:paraId="0BE17764" w14:textId="77777777" w:rsidR="00175C75" w:rsidRDefault="00AB7609">
      <w:pPr>
        <w:pStyle w:val="2"/>
        <w:spacing w:before="1"/>
        <w:jc w:val="left"/>
      </w:pPr>
      <w:r>
        <w:rPr>
          <w:rStyle w:val="None"/>
        </w:rPr>
        <w:t xml:space="preserve">Как в данной ситуации работает полис </w:t>
      </w:r>
      <w:r>
        <w:rPr>
          <w:rStyle w:val="None"/>
        </w:rPr>
        <w:t>D&amp;O:</w:t>
      </w:r>
    </w:p>
    <w:p w14:paraId="63ADF55E" w14:textId="77777777" w:rsidR="00175C75" w:rsidRDefault="00175C75">
      <w:pPr>
        <w:pStyle w:val="a4"/>
        <w:spacing w:before="5"/>
        <w:rPr>
          <w:rStyle w:val="None"/>
          <w:b/>
          <w:bCs/>
          <w:sz w:val="19"/>
          <w:szCs w:val="19"/>
        </w:rPr>
      </w:pPr>
    </w:p>
    <w:p w14:paraId="23AB0046" w14:textId="77777777" w:rsidR="00175C75" w:rsidRDefault="00AB7609">
      <w:pPr>
        <w:pStyle w:val="a4"/>
        <w:spacing w:before="1"/>
        <w:ind w:left="202"/>
      </w:pPr>
      <w:r>
        <w:rPr>
          <w:rStyle w:val="None"/>
        </w:rPr>
        <w:t>Возмещение расходов на защиту (по указанному делу расходы на защиту могут составлять около</w:t>
      </w:r>
    </w:p>
    <w:p w14:paraId="72365132" w14:textId="77777777" w:rsidR="00175C75" w:rsidRDefault="00AB7609">
      <w:pPr>
        <w:pStyle w:val="2"/>
        <w:spacing w:before="43"/>
        <w:jc w:val="left"/>
        <w:rPr>
          <w:rStyle w:val="None"/>
          <w:b w:val="0"/>
          <w:bCs w:val="0"/>
        </w:rPr>
      </w:pPr>
      <w:r>
        <w:rPr>
          <w:rStyle w:val="None"/>
        </w:rPr>
        <w:t>2,5 млн. руб</w:t>
      </w:r>
      <w:r>
        <w:rPr>
          <w:rStyle w:val="None"/>
          <w:b w:val="0"/>
          <w:bCs w:val="0"/>
        </w:rPr>
        <w:t>.)</w:t>
      </w:r>
    </w:p>
    <w:p w14:paraId="28D5EE37" w14:textId="77777777" w:rsidR="00175C75" w:rsidRDefault="00175C75">
      <w:pPr>
        <w:pStyle w:val="a4"/>
        <w:spacing w:before="6"/>
        <w:rPr>
          <w:rStyle w:val="None"/>
          <w:sz w:val="19"/>
          <w:szCs w:val="19"/>
        </w:rPr>
      </w:pPr>
    </w:p>
    <w:p w14:paraId="322081FB" w14:textId="77777777" w:rsidR="00175C75" w:rsidRDefault="00AB7609">
      <w:pPr>
        <w:pStyle w:val="a4"/>
        <w:spacing w:line="278" w:lineRule="auto"/>
        <w:ind w:left="202" w:right="103"/>
        <w:jc w:val="both"/>
      </w:pPr>
      <w:r>
        <w:rPr>
          <w:rStyle w:val="None"/>
        </w:rPr>
        <w:t>Возмещение нанесённых убытков (в размере разницы между ценой приобретения и рыночной стоимостью)</w:t>
      </w:r>
    </w:p>
    <w:p w14:paraId="24275765" w14:textId="77777777" w:rsidR="00175C75" w:rsidRDefault="00175C75">
      <w:pPr>
        <w:pStyle w:val="Body"/>
        <w:spacing w:line="278" w:lineRule="auto"/>
        <w:jc w:val="both"/>
        <w:sectPr w:rsidR="00175C75">
          <w:headerReference w:type="default" r:id="rId17"/>
          <w:pgSz w:w="11920" w:h="16840"/>
          <w:pgMar w:top="1920" w:right="740" w:bottom="280" w:left="1500" w:header="708" w:footer="0" w:gutter="0"/>
          <w:cols w:space="720"/>
        </w:sectPr>
      </w:pPr>
    </w:p>
    <w:p w14:paraId="14509609" w14:textId="77777777" w:rsidR="00175C75" w:rsidRDefault="00175C75">
      <w:pPr>
        <w:pStyle w:val="a4"/>
        <w:spacing w:before="4"/>
        <w:rPr>
          <w:rStyle w:val="None"/>
          <w:sz w:val="21"/>
          <w:szCs w:val="21"/>
        </w:rPr>
      </w:pPr>
    </w:p>
    <w:p w14:paraId="729890A9" w14:textId="77777777" w:rsidR="00175C75" w:rsidRDefault="00AB7609">
      <w:pPr>
        <w:pStyle w:val="2"/>
        <w:jc w:val="left"/>
      </w:pPr>
      <w:r>
        <w:rPr>
          <w:rStyle w:val="None"/>
        </w:rPr>
        <w:t xml:space="preserve">Пример №3. </w:t>
      </w:r>
      <w:r>
        <w:rPr>
          <w:rStyle w:val="None"/>
        </w:rPr>
        <w:t>Недобросовестность при одобрении сделки</w:t>
      </w:r>
    </w:p>
    <w:p w14:paraId="61F2A8D7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35442D47" w14:textId="77777777" w:rsidR="00175C75" w:rsidRDefault="00AB7609">
      <w:pPr>
        <w:pStyle w:val="a4"/>
        <w:spacing w:line="276" w:lineRule="auto"/>
        <w:ind w:left="202" w:right="107"/>
        <w:jc w:val="both"/>
      </w:pPr>
      <w:r>
        <w:rPr>
          <w:rStyle w:val="None"/>
        </w:rPr>
        <w:t>Совет директоров общества одобрил договор поставки нефти. Впоследствии Общество предъявило к ним иск о солидарном возмещении убытков. По мнению истца, отпускная цена нефти, установленна</w:t>
      </w:r>
      <w:r>
        <w:rPr>
          <w:rStyle w:val="None"/>
        </w:rPr>
        <w:t>я советом директоров, была значительно занижена по отношению к рыночной цене нефти в этом же регионе за этот же период.</w:t>
      </w:r>
    </w:p>
    <w:p w14:paraId="1389C939" w14:textId="77777777" w:rsidR="00175C75" w:rsidRDefault="00175C75">
      <w:pPr>
        <w:pStyle w:val="a4"/>
        <w:spacing w:before="4"/>
        <w:rPr>
          <w:rStyle w:val="None"/>
          <w:sz w:val="16"/>
          <w:szCs w:val="16"/>
        </w:rPr>
      </w:pPr>
    </w:p>
    <w:p w14:paraId="27F94DAD" w14:textId="77777777" w:rsidR="00175C75" w:rsidRDefault="00AB7609">
      <w:pPr>
        <w:pStyle w:val="a4"/>
        <w:spacing w:line="276" w:lineRule="auto"/>
        <w:ind w:left="202" w:right="105"/>
        <w:jc w:val="both"/>
      </w:pPr>
      <w:r>
        <w:rPr>
          <w:rStyle w:val="None"/>
        </w:rPr>
        <w:t>Суд установил, что в результате действий ответчиков обществу были причинены убытки в виде упущенной выгоды в размере более 400 млн. руб</w:t>
      </w:r>
      <w:r>
        <w:rPr>
          <w:rStyle w:val="None"/>
        </w:rPr>
        <w:t>., и принял решение о взыскании убытков в пользу истца в полном размере.</w:t>
      </w:r>
    </w:p>
    <w:p w14:paraId="2225A1A5" w14:textId="77777777" w:rsidR="00175C75" w:rsidRDefault="00175C75">
      <w:pPr>
        <w:pStyle w:val="a4"/>
        <w:spacing w:before="6"/>
        <w:rPr>
          <w:rStyle w:val="None"/>
          <w:sz w:val="16"/>
          <w:szCs w:val="16"/>
        </w:rPr>
      </w:pPr>
    </w:p>
    <w:p w14:paraId="18B6E879" w14:textId="77777777" w:rsidR="00175C75" w:rsidRDefault="00AB7609">
      <w:pPr>
        <w:pStyle w:val="2"/>
        <w:spacing w:before="1"/>
        <w:jc w:val="left"/>
      </w:pPr>
      <w:r>
        <w:rPr>
          <w:rStyle w:val="None"/>
        </w:rPr>
        <w:t xml:space="preserve">Как в данной ситуации работает полис </w:t>
      </w:r>
      <w:r>
        <w:rPr>
          <w:rStyle w:val="None"/>
        </w:rPr>
        <w:t>D&amp;O:</w:t>
      </w:r>
    </w:p>
    <w:p w14:paraId="3C011FE8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1231D8BB" w14:textId="77777777" w:rsidR="00175C75" w:rsidRDefault="00AB7609">
      <w:pPr>
        <w:pStyle w:val="a4"/>
        <w:spacing w:line="278" w:lineRule="auto"/>
        <w:ind w:left="202" w:right="104"/>
        <w:jc w:val="both"/>
      </w:pPr>
      <w:r>
        <w:rPr>
          <w:rStyle w:val="None"/>
        </w:rPr>
        <w:t>Возмещение расходов на защиту (</w:t>
      </w:r>
      <w:r>
        <w:rPr>
          <w:rStyle w:val="None"/>
        </w:rPr>
        <w:t xml:space="preserve">по указанному делу расходы на защиту могут составлять около </w:t>
      </w:r>
      <w:r>
        <w:rPr>
          <w:rStyle w:val="None"/>
          <w:b/>
          <w:bCs/>
        </w:rPr>
        <w:t>2 млн. руб</w:t>
      </w:r>
      <w:r>
        <w:rPr>
          <w:rStyle w:val="None"/>
        </w:rPr>
        <w:t>.)</w:t>
      </w:r>
    </w:p>
    <w:p w14:paraId="1D54426C" w14:textId="77777777" w:rsidR="00175C75" w:rsidRDefault="00175C75">
      <w:pPr>
        <w:pStyle w:val="a4"/>
        <w:spacing w:before="2"/>
        <w:rPr>
          <w:rStyle w:val="None"/>
          <w:sz w:val="16"/>
          <w:szCs w:val="16"/>
        </w:rPr>
      </w:pPr>
    </w:p>
    <w:p w14:paraId="4484DD76" w14:textId="77777777" w:rsidR="00175C75" w:rsidRDefault="00AB7609">
      <w:pPr>
        <w:pStyle w:val="Body"/>
        <w:ind w:left="202"/>
        <w:rPr>
          <w:rStyle w:val="None"/>
        </w:rPr>
      </w:pPr>
      <w:r>
        <w:rPr>
          <w:rStyle w:val="None"/>
        </w:rPr>
        <w:t xml:space="preserve">Возмещение нанесённых убытков </w:t>
      </w:r>
      <w:r>
        <w:rPr>
          <w:rStyle w:val="None"/>
        </w:rPr>
        <w:t>(</w:t>
      </w:r>
      <w:r>
        <w:rPr>
          <w:rStyle w:val="None"/>
        </w:rPr>
        <w:t xml:space="preserve">более </w:t>
      </w:r>
      <w:r>
        <w:rPr>
          <w:rStyle w:val="None"/>
          <w:b/>
          <w:bCs/>
        </w:rPr>
        <w:t xml:space="preserve">400 млн. </w:t>
      </w:r>
      <w:r>
        <w:rPr>
          <w:rStyle w:val="None"/>
          <w:b/>
          <w:bCs/>
        </w:rPr>
        <w:t>рублей</w:t>
      </w:r>
      <w:r>
        <w:rPr>
          <w:rStyle w:val="None"/>
        </w:rPr>
        <w:t>)</w:t>
      </w:r>
    </w:p>
    <w:p w14:paraId="3830C27F" w14:textId="77777777" w:rsidR="00175C75" w:rsidRDefault="00175C75">
      <w:pPr>
        <w:pStyle w:val="Body"/>
        <w:sectPr w:rsidR="00175C75">
          <w:headerReference w:type="default" r:id="rId18"/>
          <w:pgSz w:w="11920" w:h="16840"/>
          <w:pgMar w:top="1920" w:right="740" w:bottom="280" w:left="1500" w:header="708" w:footer="0" w:gutter="0"/>
          <w:cols w:space="720"/>
        </w:sectPr>
      </w:pPr>
    </w:p>
    <w:p w14:paraId="41A258AE" w14:textId="77777777" w:rsidR="00175C75" w:rsidRDefault="00175C75">
      <w:pPr>
        <w:pStyle w:val="a4"/>
        <w:spacing w:before="4"/>
        <w:rPr>
          <w:rStyle w:val="None"/>
          <w:sz w:val="21"/>
          <w:szCs w:val="21"/>
        </w:rPr>
      </w:pPr>
    </w:p>
    <w:p w14:paraId="0C30DD30" w14:textId="77777777" w:rsidR="00175C75" w:rsidRDefault="00AB7609">
      <w:pPr>
        <w:pStyle w:val="2"/>
        <w:jc w:val="left"/>
      </w:pPr>
      <w:r>
        <w:rPr>
          <w:rStyle w:val="None"/>
        </w:rPr>
        <w:t xml:space="preserve">Пример №4. </w:t>
      </w:r>
      <w:r>
        <w:rPr>
          <w:rStyle w:val="None"/>
        </w:rPr>
        <w:t>Швейцария – Италия</w:t>
      </w:r>
    </w:p>
    <w:p w14:paraId="49A222F9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6C248E8F" w14:textId="77777777" w:rsidR="00175C75" w:rsidRDefault="00AB7609">
      <w:pPr>
        <w:pStyle w:val="a4"/>
        <w:spacing w:line="276" w:lineRule="auto"/>
        <w:ind w:left="202" w:right="108"/>
        <w:jc w:val="both"/>
      </w:pPr>
      <w:r>
        <w:rPr>
          <w:rStyle w:val="None"/>
        </w:rPr>
        <w:t xml:space="preserve">CFO итальянского филиала швейцарской компании не принял меры для того, </w:t>
      </w:r>
      <w:r>
        <w:rPr>
          <w:rStyle w:val="None"/>
        </w:rPr>
        <w:t>чтобы сотрудники держали свои пароли в тайне (для мошенничества был даже использован собственный пароль CFO) в результате мошенничества компания лишилась почти €900 тыс.</w:t>
      </w:r>
    </w:p>
    <w:p w14:paraId="517DF790" w14:textId="77777777" w:rsidR="00175C75" w:rsidRDefault="00175C75">
      <w:pPr>
        <w:pStyle w:val="a4"/>
        <w:spacing w:before="3"/>
        <w:rPr>
          <w:rStyle w:val="None"/>
          <w:sz w:val="16"/>
          <w:szCs w:val="16"/>
        </w:rPr>
      </w:pPr>
    </w:p>
    <w:p w14:paraId="688F33A4" w14:textId="77777777" w:rsidR="00175C75" w:rsidRDefault="00AB7609">
      <w:pPr>
        <w:pStyle w:val="a4"/>
        <w:spacing w:before="1" w:line="278" w:lineRule="auto"/>
        <w:ind w:left="202" w:right="109"/>
        <w:jc w:val="both"/>
      </w:pPr>
      <w:r>
        <w:rPr>
          <w:rStyle w:val="None"/>
        </w:rPr>
        <w:t>Суд в Италии постановил, что CFO виновен в недостаточном надзоре и на стадии апелляци</w:t>
      </w:r>
      <w:r>
        <w:rPr>
          <w:rStyle w:val="None"/>
        </w:rPr>
        <w:t>и, на которой страховщик (мотивируя это тем, что частично вина лежит и на компании) предложил урегулировать дело за примерно половину первоначального размера иска.</w:t>
      </w:r>
    </w:p>
    <w:p w14:paraId="58BCFCBC" w14:textId="77777777" w:rsidR="00175C75" w:rsidRDefault="00AB7609">
      <w:pPr>
        <w:pStyle w:val="2"/>
        <w:spacing w:before="195"/>
        <w:jc w:val="left"/>
      </w:pPr>
      <w:r>
        <w:rPr>
          <w:rStyle w:val="None"/>
        </w:rPr>
        <w:t xml:space="preserve">Как в данной ситуации работает полис </w:t>
      </w:r>
      <w:r>
        <w:rPr>
          <w:rStyle w:val="None"/>
        </w:rPr>
        <w:t>D&amp;O:</w:t>
      </w:r>
    </w:p>
    <w:p w14:paraId="65389030" w14:textId="77777777" w:rsidR="00175C75" w:rsidRDefault="00175C75">
      <w:pPr>
        <w:pStyle w:val="a4"/>
        <w:spacing w:before="9"/>
        <w:rPr>
          <w:rStyle w:val="None"/>
          <w:b/>
          <w:bCs/>
          <w:sz w:val="19"/>
          <w:szCs w:val="19"/>
        </w:rPr>
      </w:pPr>
    </w:p>
    <w:p w14:paraId="46005DC0" w14:textId="77777777" w:rsidR="00175C75" w:rsidRDefault="00AB7609">
      <w:pPr>
        <w:pStyle w:val="Body"/>
        <w:ind w:left="202"/>
        <w:rPr>
          <w:rStyle w:val="None"/>
        </w:rPr>
      </w:pPr>
      <w:r>
        <w:rPr>
          <w:rStyle w:val="None"/>
          <w:b/>
          <w:bCs/>
          <w:lang w:val="pt-PT"/>
        </w:rPr>
        <w:t>€</w:t>
      </w:r>
      <w:r>
        <w:rPr>
          <w:rStyle w:val="None"/>
          <w:b/>
          <w:bCs/>
        </w:rPr>
        <w:t xml:space="preserve">400 </w:t>
      </w:r>
      <w:r>
        <w:rPr>
          <w:rStyle w:val="None"/>
          <w:b/>
          <w:bCs/>
        </w:rPr>
        <w:t>тыс</w:t>
      </w:r>
      <w:r>
        <w:rPr>
          <w:rStyle w:val="None"/>
        </w:rPr>
        <w:t xml:space="preserve">. </w:t>
      </w:r>
      <w:r>
        <w:rPr>
          <w:rStyle w:val="None"/>
        </w:rPr>
        <w:t xml:space="preserve">возмещения ущерба и </w:t>
      </w:r>
      <w:r>
        <w:rPr>
          <w:rStyle w:val="None"/>
          <w:b/>
          <w:bCs/>
          <w:lang w:val="pt-PT"/>
        </w:rPr>
        <w:t>€</w:t>
      </w:r>
      <w:r>
        <w:rPr>
          <w:rStyle w:val="None"/>
          <w:b/>
          <w:bCs/>
        </w:rPr>
        <w:t xml:space="preserve">90 </w:t>
      </w:r>
      <w:r>
        <w:rPr>
          <w:rStyle w:val="None"/>
          <w:b/>
          <w:bCs/>
        </w:rPr>
        <w:t>тыс</w:t>
      </w:r>
      <w:r>
        <w:rPr>
          <w:rStyle w:val="None"/>
          <w:b/>
          <w:bCs/>
        </w:rPr>
        <w:t xml:space="preserve">. </w:t>
      </w:r>
      <w:r>
        <w:rPr>
          <w:rStyle w:val="None"/>
        </w:rPr>
        <w:t>расходов н</w:t>
      </w:r>
      <w:r>
        <w:rPr>
          <w:rStyle w:val="None"/>
        </w:rPr>
        <w:t>а защиту</w:t>
      </w:r>
    </w:p>
    <w:p w14:paraId="17196033" w14:textId="77777777" w:rsidR="00175C75" w:rsidRDefault="00175C75">
      <w:pPr>
        <w:pStyle w:val="Body"/>
        <w:sectPr w:rsidR="00175C75">
          <w:headerReference w:type="default" r:id="rId19"/>
          <w:pgSz w:w="11920" w:h="16840"/>
          <w:pgMar w:top="1920" w:right="740" w:bottom="280" w:left="1500" w:header="708" w:footer="0" w:gutter="0"/>
          <w:cols w:space="720"/>
        </w:sectPr>
      </w:pPr>
    </w:p>
    <w:p w14:paraId="438C4903" w14:textId="77777777" w:rsidR="00175C75" w:rsidRDefault="00175C75">
      <w:pPr>
        <w:pStyle w:val="a4"/>
        <w:spacing w:before="4"/>
        <w:rPr>
          <w:rStyle w:val="None"/>
          <w:sz w:val="21"/>
          <w:szCs w:val="21"/>
        </w:rPr>
      </w:pPr>
    </w:p>
    <w:p w14:paraId="77D9D2AD" w14:textId="77777777" w:rsidR="00175C75" w:rsidRDefault="00AB7609">
      <w:pPr>
        <w:pStyle w:val="2"/>
      </w:pPr>
      <w:r>
        <w:rPr>
          <w:rStyle w:val="None"/>
        </w:rPr>
        <w:t xml:space="preserve">Пример №5. </w:t>
      </w:r>
      <w:r>
        <w:rPr>
          <w:rStyle w:val="None"/>
        </w:rPr>
        <w:t>Голландия – Латинская Америка</w:t>
      </w:r>
    </w:p>
    <w:p w14:paraId="7A7427D6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552939A6" w14:textId="77777777" w:rsidR="00175C75" w:rsidRDefault="00AB7609">
      <w:pPr>
        <w:pStyle w:val="a4"/>
        <w:spacing w:line="276" w:lineRule="auto"/>
        <w:ind w:left="202" w:right="104"/>
        <w:jc w:val="both"/>
      </w:pPr>
      <w:r>
        <w:rPr>
          <w:rStyle w:val="None"/>
        </w:rPr>
        <w:t xml:space="preserve">Компания-поставщик авиационной техники из Голландии продала единицу авиационной продукции одной латиноамериканской стране. </w:t>
      </w:r>
      <w:r>
        <w:rPr>
          <w:rStyle w:val="None"/>
        </w:rPr>
        <w:t>Государственный прокурор страны возбудил дело против CFO о мошенническом завышении (на 1 млн местной валюты) цены единицы техники по сравнению с рыночными ценами.</w:t>
      </w:r>
    </w:p>
    <w:p w14:paraId="2995675A" w14:textId="77777777" w:rsidR="00175C75" w:rsidRDefault="00175C75">
      <w:pPr>
        <w:pStyle w:val="a4"/>
        <w:spacing w:before="7"/>
        <w:rPr>
          <w:rStyle w:val="None"/>
          <w:sz w:val="16"/>
          <w:szCs w:val="16"/>
        </w:rPr>
      </w:pPr>
    </w:p>
    <w:p w14:paraId="63AABD90" w14:textId="77777777" w:rsidR="00175C75" w:rsidRDefault="00AB7609">
      <w:pPr>
        <w:pStyle w:val="2"/>
        <w:spacing w:before="0"/>
      </w:pPr>
      <w:r>
        <w:rPr>
          <w:rStyle w:val="None"/>
        </w:rPr>
        <w:t xml:space="preserve">Как в данной ситуации работает полис </w:t>
      </w:r>
      <w:r>
        <w:rPr>
          <w:rStyle w:val="None"/>
        </w:rPr>
        <w:t>D&amp;O:</w:t>
      </w:r>
    </w:p>
    <w:p w14:paraId="28371D4C" w14:textId="77777777" w:rsidR="00175C75" w:rsidRDefault="00175C75">
      <w:pPr>
        <w:pStyle w:val="a4"/>
        <w:spacing w:before="5"/>
        <w:rPr>
          <w:rStyle w:val="None"/>
          <w:b/>
          <w:bCs/>
          <w:sz w:val="19"/>
          <w:szCs w:val="19"/>
        </w:rPr>
      </w:pPr>
    </w:p>
    <w:p w14:paraId="656BBA3C" w14:textId="77777777" w:rsidR="00175C75" w:rsidRDefault="00AB7609">
      <w:pPr>
        <w:pStyle w:val="a4"/>
        <w:spacing w:before="1" w:line="278" w:lineRule="auto"/>
        <w:ind w:left="202" w:right="104"/>
        <w:jc w:val="both"/>
      </w:pPr>
      <w:r>
        <w:rPr>
          <w:rStyle w:val="None"/>
        </w:rPr>
        <w:t>Общий бюджет защиты CFO оценивается в 2,5 млн мес</w:t>
      </w:r>
      <w:r>
        <w:rPr>
          <w:rStyle w:val="None"/>
        </w:rPr>
        <w:t xml:space="preserve">тной валюты (около </w:t>
      </w:r>
      <w:r>
        <w:rPr>
          <w:rStyle w:val="None"/>
          <w:b/>
          <w:bCs/>
        </w:rPr>
        <w:t>$1 млн</w:t>
      </w:r>
      <w:r>
        <w:rPr>
          <w:rStyle w:val="None"/>
        </w:rPr>
        <w:t xml:space="preserve">), на данный момент уже оплачено более </w:t>
      </w:r>
      <w:r>
        <w:rPr>
          <w:rStyle w:val="None"/>
          <w:b/>
          <w:bCs/>
        </w:rPr>
        <w:t>$150 тыс</w:t>
      </w:r>
      <w:r>
        <w:rPr>
          <w:rStyle w:val="None"/>
        </w:rPr>
        <w:t>.</w:t>
      </w:r>
    </w:p>
    <w:p w14:paraId="70D47087" w14:textId="77777777" w:rsidR="00175C75" w:rsidRDefault="00175C75">
      <w:pPr>
        <w:pStyle w:val="Body"/>
        <w:spacing w:line="278" w:lineRule="auto"/>
        <w:jc w:val="both"/>
        <w:sectPr w:rsidR="00175C75">
          <w:headerReference w:type="default" r:id="rId20"/>
          <w:pgSz w:w="11920" w:h="16840"/>
          <w:pgMar w:top="1920" w:right="740" w:bottom="280" w:left="1500" w:header="708" w:footer="0" w:gutter="0"/>
          <w:cols w:space="720"/>
        </w:sectPr>
      </w:pPr>
    </w:p>
    <w:p w14:paraId="20EDD7FE" w14:textId="77777777" w:rsidR="00175C75" w:rsidRDefault="00175C75">
      <w:pPr>
        <w:pStyle w:val="a4"/>
        <w:spacing w:before="4"/>
        <w:rPr>
          <w:rStyle w:val="None"/>
          <w:sz w:val="21"/>
          <w:szCs w:val="21"/>
        </w:rPr>
      </w:pPr>
    </w:p>
    <w:p w14:paraId="5F83E2F2" w14:textId="77777777" w:rsidR="00175C75" w:rsidRDefault="00AB7609">
      <w:pPr>
        <w:pStyle w:val="2"/>
      </w:pPr>
      <w:r>
        <w:rPr>
          <w:rStyle w:val="None"/>
        </w:rPr>
        <w:t xml:space="preserve">Пример №6. </w:t>
      </w:r>
      <w:r>
        <w:rPr>
          <w:rStyle w:val="None"/>
        </w:rPr>
        <w:t>Европа</w:t>
      </w:r>
    </w:p>
    <w:p w14:paraId="61A6362E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40795B80" w14:textId="77777777" w:rsidR="00175C75" w:rsidRDefault="00AB7609">
      <w:pPr>
        <w:pStyle w:val="a4"/>
        <w:spacing w:line="276" w:lineRule="auto"/>
        <w:ind w:left="202" w:right="106"/>
        <w:jc w:val="both"/>
      </w:pPr>
      <w:r>
        <w:rPr>
          <w:rStyle w:val="None"/>
        </w:rPr>
        <w:t>Иск дочерних компаний обанкротившегося импортёра и кредитной компании против её CFO. Этот CFO нанёс ущерб интересам дочерних компаний направ</w:t>
      </w:r>
      <w:r>
        <w:rPr>
          <w:rStyle w:val="None"/>
        </w:rPr>
        <w:t>ляя денежные потоки, причитающиеся дочерним компаниям, через материнскую (надеясь, что благодаря этому материнская компания сможет справится со своими финансовыми трудностями).</w:t>
      </w:r>
    </w:p>
    <w:p w14:paraId="0AB820B5" w14:textId="77777777" w:rsidR="00175C75" w:rsidRDefault="00175C75">
      <w:pPr>
        <w:pStyle w:val="a4"/>
        <w:spacing w:before="4"/>
        <w:rPr>
          <w:rStyle w:val="None"/>
          <w:sz w:val="16"/>
          <w:szCs w:val="16"/>
        </w:rPr>
      </w:pPr>
    </w:p>
    <w:p w14:paraId="54CB861C" w14:textId="77777777" w:rsidR="00175C75" w:rsidRDefault="00AB7609">
      <w:pPr>
        <w:pStyle w:val="a4"/>
        <w:spacing w:line="276" w:lineRule="auto"/>
        <w:ind w:left="202" w:right="106"/>
        <w:jc w:val="both"/>
      </w:pPr>
      <w:r>
        <w:rPr>
          <w:rStyle w:val="None"/>
        </w:rPr>
        <w:t>CFO было предъявлено обвинение в плохом управлении и манипуляции счетов, что п</w:t>
      </w:r>
      <w:r>
        <w:rPr>
          <w:rStyle w:val="None"/>
        </w:rPr>
        <w:t>ривело к ущербу в €8 млн. Суд признал CFO полностью виновным несмотря на то, что он пытался доказать, что всё это было сделано для оптимизации денежных потоков группы, чтобы дать возможность группе компаний выжить в обстановке финансового кризиса.</w:t>
      </w:r>
    </w:p>
    <w:p w14:paraId="1EE4CF85" w14:textId="77777777" w:rsidR="00175C75" w:rsidRDefault="00175C75">
      <w:pPr>
        <w:pStyle w:val="a4"/>
        <w:spacing w:before="8"/>
        <w:rPr>
          <w:rStyle w:val="None"/>
          <w:sz w:val="16"/>
          <w:szCs w:val="16"/>
        </w:rPr>
      </w:pPr>
    </w:p>
    <w:p w14:paraId="4AF9D1A5" w14:textId="77777777" w:rsidR="00175C75" w:rsidRDefault="00AB7609">
      <w:pPr>
        <w:pStyle w:val="2"/>
        <w:spacing w:before="0"/>
      </w:pPr>
      <w:r>
        <w:rPr>
          <w:rStyle w:val="None"/>
        </w:rPr>
        <w:t xml:space="preserve">Как в данной ситуации работает полис </w:t>
      </w:r>
      <w:r>
        <w:rPr>
          <w:rStyle w:val="None"/>
        </w:rPr>
        <w:t>D&amp;O:</w:t>
      </w:r>
    </w:p>
    <w:p w14:paraId="6CEC86D9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48FE1FDA" w14:textId="204E4C63" w:rsidR="00175C75" w:rsidRDefault="00AB7609">
      <w:pPr>
        <w:pStyle w:val="a4"/>
        <w:spacing w:line="276" w:lineRule="auto"/>
        <w:ind w:left="202" w:right="108"/>
        <w:jc w:val="both"/>
      </w:pPr>
      <w:r>
        <w:rPr>
          <w:rStyle w:val="None"/>
        </w:rPr>
        <w:t>Дело уже идёт несколько лет и в данный момент рассматривается апелляция. Уже</w:t>
      </w:r>
      <w:r>
        <w:rPr>
          <w:rStyle w:val="None"/>
        </w:rPr>
        <w:t xml:space="preserve"> оплачено более </w:t>
      </w:r>
      <w:r>
        <w:rPr>
          <w:rStyle w:val="None"/>
          <w:b/>
          <w:bCs/>
        </w:rPr>
        <w:t>€650 тыс</w:t>
      </w:r>
      <w:r>
        <w:rPr>
          <w:rStyle w:val="None"/>
        </w:rPr>
        <w:t xml:space="preserve">. расходов на защиту, но страховая компания ожидает, </w:t>
      </w:r>
      <w:r>
        <w:rPr>
          <w:rStyle w:val="None"/>
        </w:rPr>
        <w:t>что в итоге придётся выплатить полный лимит по полису (</w:t>
      </w:r>
      <w:r>
        <w:rPr>
          <w:rStyle w:val="None"/>
          <w:b/>
          <w:bCs/>
        </w:rPr>
        <w:t>€10</w:t>
      </w:r>
      <w:r>
        <w:rPr>
          <w:rStyle w:val="None"/>
          <w:b/>
          <w:bCs/>
        </w:rPr>
        <w:t xml:space="preserve"> </w:t>
      </w:r>
      <w:r>
        <w:rPr>
          <w:rStyle w:val="None"/>
          <w:b/>
          <w:bCs/>
        </w:rPr>
        <w:t>млн</w:t>
      </w:r>
      <w:r>
        <w:rPr>
          <w:rStyle w:val="None"/>
        </w:rPr>
        <w:t>).</w:t>
      </w:r>
    </w:p>
    <w:p w14:paraId="5818D31F" w14:textId="77777777" w:rsidR="00175C75" w:rsidRDefault="00175C75">
      <w:pPr>
        <w:pStyle w:val="Body"/>
        <w:spacing w:line="276" w:lineRule="auto"/>
        <w:jc w:val="both"/>
        <w:sectPr w:rsidR="00175C75">
          <w:headerReference w:type="default" r:id="rId21"/>
          <w:pgSz w:w="11920" w:h="16840"/>
          <w:pgMar w:top="1920" w:right="740" w:bottom="280" w:left="1500" w:header="708" w:footer="0" w:gutter="0"/>
          <w:cols w:space="720"/>
        </w:sectPr>
      </w:pPr>
    </w:p>
    <w:p w14:paraId="4B683FCD" w14:textId="77777777" w:rsidR="00175C75" w:rsidRDefault="00175C75">
      <w:pPr>
        <w:pStyle w:val="a4"/>
        <w:spacing w:before="4"/>
        <w:rPr>
          <w:rStyle w:val="None"/>
          <w:sz w:val="21"/>
          <w:szCs w:val="21"/>
        </w:rPr>
      </w:pPr>
    </w:p>
    <w:p w14:paraId="796478C1" w14:textId="77777777" w:rsidR="00175C75" w:rsidRDefault="00AB7609">
      <w:pPr>
        <w:pStyle w:val="2"/>
      </w:pPr>
      <w:r>
        <w:rPr>
          <w:rStyle w:val="None"/>
        </w:rPr>
        <w:t xml:space="preserve">Пример №7. </w:t>
      </w:r>
      <w:r>
        <w:rPr>
          <w:rStyle w:val="None"/>
        </w:rPr>
        <w:t>Великобритания</w:t>
      </w:r>
    </w:p>
    <w:p w14:paraId="1E7989CA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37A7BFA8" w14:textId="5702ADC5" w:rsidR="00175C75" w:rsidRDefault="00AB7609">
      <w:pPr>
        <w:pStyle w:val="a4"/>
        <w:spacing w:line="276" w:lineRule="auto"/>
        <w:ind w:left="202" w:right="106"/>
        <w:jc w:val="both"/>
      </w:pPr>
      <w:r>
        <w:rPr>
          <w:rStyle w:val="None"/>
        </w:rPr>
        <w:t>Классический случай</w:t>
      </w:r>
      <w:r w:rsidR="00445DC9">
        <w:rPr>
          <w:rStyle w:val="None"/>
        </w:rPr>
        <w:t>,</w:t>
      </w:r>
      <w:r>
        <w:rPr>
          <w:rStyle w:val="None"/>
        </w:rPr>
        <w:t xml:space="preserve"> когда компания обанкротилась и акционеры/кредиторы ищут виновных. Иск подан против CFO и CEO за то, что они скрыли важную</w:t>
      </w:r>
      <w:r>
        <w:rPr>
          <w:rStyle w:val="None"/>
        </w:rPr>
        <w:t xml:space="preserve"> информацию /ввели в заблуждение совет директоров и если бы не это, то совет директоров воздержался бы от ряда решений, которые привели компанию к краху.</w:t>
      </w:r>
    </w:p>
    <w:p w14:paraId="39706F7E" w14:textId="77777777" w:rsidR="00175C75" w:rsidRDefault="00175C75">
      <w:pPr>
        <w:pStyle w:val="a4"/>
        <w:spacing w:before="4"/>
        <w:rPr>
          <w:rStyle w:val="None"/>
          <w:sz w:val="16"/>
          <w:szCs w:val="16"/>
        </w:rPr>
      </w:pPr>
    </w:p>
    <w:p w14:paraId="2971F7FC" w14:textId="77777777" w:rsidR="00175C75" w:rsidRDefault="00AB7609">
      <w:pPr>
        <w:pStyle w:val="a4"/>
        <w:spacing w:line="278" w:lineRule="auto"/>
        <w:ind w:left="202" w:right="109"/>
        <w:jc w:val="both"/>
      </w:pPr>
      <w:r>
        <w:rPr>
          <w:rStyle w:val="None"/>
        </w:rPr>
        <w:t>Дело идёт уже 2 года и первоначально кредиторы намеревались взыскать £50 млн., сейчас размер требован</w:t>
      </w:r>
      <w:r>
        <w:rPr>
          <w:rStyle w:val="None"/>
        </w:rPr>
        <w:t>ия сократился до £35</w:t>
      </w:r>
      <w:r>
        <w:rPr>
          <w:rStyle w:val="None"/>
        </w:rPr>
        <w:t xml:space="preserve"> </w:t>
      </w:r>
      <w:r>
        <w:rPr>
          <w:rStyle w:val="None"/>
        </w:rPr>
        <w:t>млн.</w:t>
      </w:r>
    </w:p>
    <w:p w14:paraId="144355C4" w14:textId="77777777" w:rsidR="00175C75" w:rsidRDefault="00175C75">
      <w:pPr>
        <w:pStyle w:val="a4"/>
        <w:spacing w:before="3"/>
        <w:rPr>
          <w:rStyle w:val="None"/>
          <w:sz w:val="16"/>
          <w:szCs w:val="16"/>
        </w:rPr>
      </w:pPr>
    </w:p>
    <w:p w14:paraId="763E0429" w14:textId="77777777" w:rsidR="00175C75" w:rsidRDefault="00AB7609">
      <w:pPr>
        <w:pStyle w:val="2"/>
        <w:spacing w:before="0"/>
      </w:pPr>
      <w:r>
        <w:rPr>
          <w:rStyle w:val="None"/>
        </w:rPr>
        <w:t xml:space="preserve">Как в данной ситуации работает полис </w:t>
      </w:r>
      <w:r>
        <w:rPr>
          <w:rStyle w:val="None"/>
        </w:rPr>
        <w:t>D&amp;O:</w:t>
      </w:r>
    </w:p>
    <w:p w14:paraId="44328F6E" w14:textId="77777777" w:rsidR="00175C75" w:rsidRDefault="00175C75">
      <w:pPr>
        <w:pStyle w:val="a4"/>
        <w:spacing w:before="6"/>
        <w:rPr>
          <w:rStyle w:val="None"/>
          <w:b/>
          <w:bCs/>
          <w:sz w:val="19"/>
          <w:szCs w:val="19"/>
        </w:rPr>
      </w:pPr>
    </w:p>
    <w:p w14:paraId="62B55696" w14:textId="1CD130EA" w:rsidR="00175C75" w:rsidRDefault="00AB7609">
      <w:pPr>
        <w:pStyle w:val="a4"/>
        <w:spacing w:line="276" w:lineRule="auto"/>
        <w:ind w:left="202" w:right="108"/>
        <w:jc w:val="both"/>
      </w:pPr>
      <w:r>
        <w:rPr>
          <w:rStyle w:val="None"/>
        </w:rPr>
        <w:t xml:space="preserve">Страховая компания уже заплатила </w:t>
      </w:r>
      <w:r>
        <w:rPr>
          <w:rStyle w:val="None"/>
          <w:b/>
          <w:bCs/>
        </w:rPr>
        <w:t xml:space="preserve">£900 тыс. </w:t>
      </w:r>
      <w:r>
        <w:rPr>
          <w:rStyle w:val="None"/>
        </w:rPr>
        <w:t>расходов защиту и оценивает</w:t>
      </w:r>
      <w:r w:rsidR="00445DC9">
        <w:rPr>
          <w:rStyle w:val="None"/>
        </w:rPr>
        <w:t>,</w:t>
      </w:r>
      <w:r>
        <w:rPr>
          <w:rStyle w:val="None"/>
        </w:rPr>
        <w:t xml:space="preserve"> что только одна защита будет стоить почти </w:t>
      </w:r>
      <w:r>
        <w:rPr>
          <w:rStyle w:val="None"/>
          <w:b/>
          <w:bCs/>
        </w:rPr>
        <w:t xml:space="preserve">£3 млн. </w:t>
      </w:r>
      <w:r>
        <w:rPr>
          <w:rStyle w:val="None"/>
        </w:rPr>
        <w:t>Вероятность того, что в суде клиенты будут оправданы 50%, поэтому</w:t>
      </w:r>
      <w:r>
        <w:rPr>
          <w:rStyle w:val="None"/>
        </w:rPr>
        <w:t xml:space="preserve"> страховщик работает над мировым соглашением с истцами (что может позволить урегулировать это дело за существенно меньшую сумму).</w:t>
      </w:r>
    </w:p>
    <w:sectPr w:rsidR="00175C75">
      <w:headerReference w:type="default" r:id="rId22"/>
      <w:pgSz w:w="11920" w:h="16840"/>
      <w:pgMar w:top="1920" w:right="740" w:bottom="280" w:left="1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02C9" w14:textId="77777777" w:rsidR="00AB7609" w:rsidRDefault="00AB7609">
      <w:r>
        <w:separator/>
      </w:r>
    </w:p>
  </w:endnote>
  <w:endnote w:type="continuationSeparator" w:id="0">
    <w:p w14:paraId="10754808" w14:textId="77777777" w:rsidR="00AB7609" w:rsidRDefault="00AB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1AFF" w14:textId="77777777" w:rsidR="00AB7609" w:rsidRDefault="00AB7609">
      <w:r>
        <w:separator/>
      </w:r>
    </w:p>
  </w:footnote>
  <w:footnote w:type="continuationSeparator" w:id="0">
    <w:p w14:paraId="1402DEBF" w14:textId="77777777" w:rsidR="00AB7609" w:rsidRDefault="00AB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FA24" w14:textId="3F617BEF" w:rsidR="00175C75" w:rsidRDefault="00445DC9">
    <w:pPr>
      <w:pStyle w:val="a4"/>
      <w:spacing w:line="14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AC4787F" wp14:editId="5269AB21">
          <wp:simplePos x="0" y="0"/>
          <wp:positionH relativeFrom="page">
            <wp:posOffset>723899</wp:posOffset>
          </wp:positionH>
          <wp:positionV relativeFrom="page">
            <wp:posOffset>609599</wp:posOffset>
          </wp:positionV>
          <wp:extent cx="1800225" cy="542925"/>
          <wp:effectExtent l="0" t="0" r="9525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609">
      <w:rPr>
        <w:noProof/>
      </w:rPr>
      <w:drawing>
        <wp:anchor distT="152400" distB="152400" distL="152400" distR="152400" simplePos="0" relativeHeight="251643904" behindDoc="1" locked="0" layoutInCell="1" allowOverlap="1" wp14:anchorId="70A62404" wp14:editId="19DC4EE0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9A6D" w14:textId="2E94C5AB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53120" behindDoc="1" locked="0" layoutInCell="1" allowOverlap="1" wp14:anchorId="4DD7B48E" wp14:editId="67369528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43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3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89984" behindDoc="1" locked="0" layoutInCell="1" allowOverlap="1" wp14:anchorId="1C6FF2B0" wp14:editId="0DBE0672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15B3" w14:textId="3A59C86B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54144" behindDoc="1" locked="0" layoutInCell="1" allowOverlap="1" wp14:anchorId="3BEBC950" wp14:editId="5F96C32C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4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92032" behindDoc="1" locked="0" layoutInCell="1" allowOverlap="1" wp14:anchorId="216A7129" wp14:editId="0B8405E5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610F" w14:textId="1858E867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62F19C32" wp14:editId="6A022784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4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7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94080" behindDoc="1" locked="0" layoutInCell="1" allowOverlap="1" wp14:anchorId="25D87F5A" wp14:editId="7D9A618E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30C9" w14:textId="33774440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F7797CE" wp14:editId="5A079F4A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49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9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96128" behindDoc="1" locked="0" layoutInCell="1" allowOverlap="1" wp14:anchorId="01822A30" wp14:editId="79992C3B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E6BD" w14:textId="628311FD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30AA957" wp14:editId="3B0F405A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5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1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98176" behindDoc="1" locked="0" layoutInCell="1" allowOverlap="1" wp14:anchorId="5955F16C" wp14:editId="511BA642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BE0A" w14:textId="60BBB1F2" w:rsidR="00175C75" w:rsidRDefault="00445DC9">
    <w:pPr>
      <w:pStyle w:val="HeaderFooter"/>
    </w:pPr>
    <w:r>
      <w:rPr>
        <w:noProof/>
      </w:rPr>
      <w:drawing>
        <wp:anchor distT="152400" distB="152400" distL="152400" distR="152400" simplePos="0" relativeHeight="251673600" behindDoc="1" locked="0" layoutInCell="1" allowOverlap="1" wp14:anchorId="6FC311AE" wp14:editId="298A2B70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1800225" cy="542925"/>
          <wp:effectExtent l="0" t="0" r="952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609">
      <w:rPr>
        <w:noProof/>
      </w:rPr>
      <w:drawing>
        <wp:anchor distT="152400" distB="152400" distL="152400" distR="152400" simplePos="0" relativeHeight="251644928" behindDoc="1" locked="0" layoutInCell="1" allowOverlap="1" wp14:anchorId="1F2322A7" wp14:editId="21F5186B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2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7BA4" w14:textId="7C57C847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45952" behindDoc="1" locked="0" layoutInCell="1" allowOverlap="1" wp14:anchorId="0A3063E2" wp14:editId="7D7497EF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29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75648" behindDoc="1" locked="0" layoutInCell="1" allowOverlap="1" wp14:anchorId="4EAB53CA" wp14:editId="1DBA39F0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6AE6" w14:textId="543E99B7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46976" behindDoc="1" locked="0" layoutInCell="1" allowOverlap="1" wp14:anchorId="7A42A000" wp14:editId="69011C01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3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77696" behindDoc="1" locked="0" layoutInCell="1" allowOverlap="1" wp14:anchorId="009BF71F" wp14:editId="7A641A7A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4458" w14:textId="0903C13F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48000" behindDoc="1" locked="0" layoutInCell="1" allowOverlap="1" wp14:anchorId="74CC5B26" wp14:editId="5ED1B8B0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33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79744" behindDoc="1" locked="0" layoutInCell="1" allowOverlap="1" wp14:anchorId="7019412C" wp14:editId="13E62EC9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08AB" w14:textId="479A5070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49024" behindDoc="1" locked="0" layoutInCell="1" allowOverlap="1" wp14:anchorId="4D9ECA22" wp14:editId="5FBD4D5F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3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81792" behindDoc="1" locked="0" layoutInCell="1" allowOverlap="1" wp14:anchorId="060CC1C7" wp14:editId="3272AC70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5ADB" w14:textId="2F238469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50048" behindDoc="1" locked="0" layoutInCell="1" allowOverlap="1" wp14:anchorId="22E8A642" wp14:editId="523EF2DD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3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83840" behindDoc="1" locked="0" layoutInCell="1" allowOverlap="1" wp14:anchorId="009B814C" wp14:editId="68BBE938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EC01" w14:textId="05B6BB6E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51072" behindDoc="1" locked="0" layoutInCell="1" allowOverlap="1" wp14:anchorId="71A26B29" wp14:editId="7EF5E573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39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85888" behindDoc="1" locked="0" layoutInCell="1" allowOverlap="1" wp14:anchorId="4E411EF6" wp14:editId="334D9F75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B19E" w14:textId="3CEB370A" w:rsidR="00175C75" w:rsidRDefault="00AB7609">
    <w:pPr>
      <w:pStyle w:val="HeaderFooter"/>
    </w:pPr>
    <w:r>
      <w:rPr>
        <w:noProof/>
      </w:rPr>
      <w:drawing>
        <wp:anchor distT="152400" distB="152400" distL="152400" distR="152400" simplePos="0" relativeHeight="251652096" behindDoc="1" locked="0" layoutInCell="1" allowOverlap="1" wp14:anchorId="286D68D0" wp14:editId="085AAA7E">
          <wp:simplePos x="0" y="0"/>
          <wp:positionH relativeFrom="page">
            <wp:posOffset>4845684</wp:posOffset>
          </wp:positionH>
          <wp:positionV relativeFrom="page">
            <wp:posOffset>449579</wp:posOffset>
          </wp:positionV>
          <wp:extent cx="1904239" cy="769620"/>
          <wp:effectExtent l="0" t="0" r="0" b="0"/>
          <wp:wrapNone/>
          <wp:docPr id="107374184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23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DC9">
      <w:rPr>
        <w:noProof/>
      </w:rPr>
      <w:drawing>
        <wp:anchor distT="152400" distB="152400" distL="152400" distR="152400" simplePos="0" relativeHeight="251687936" behindDoc="1" locked="0" layoutInCell="1" allowOverlap="1" wp14:anchorId="26AB4257" wp14:editId="131CD6EE">
          <wp:simplePos x="0" y="0"/>
          <wp:positionH relativeFrom="page">
            <wp:posOffset>952500</wp:posOffset>
          </wp:positionH>
          <wp:positionV relativeFrom="page">
            <wp:posOffset>601345</wp:posOffset>
          </wp:positionV>
          <wp:extent cx="1800225" cy="542925"/>
          <wp:effectExtent l="0" t="0" r="9525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960D9"/>
    <w:multiLevelType w:val="hybridMultilevel"/>
    <w:tmpl w:val="D3224CE2"/>
    <w:numStyleLink w:val="ImportedStyle1"/>
  </w:abstractNum>
  <w:abstractNum w:abstractNumId="1" w15:restartNumberingAfterBreak="0">
    <w:nsid w:val="5EDC56E5"/>
    <w:multiLevelType w:val="hybridMultilevel"/>
    <w:tmpl w:val="D3224CE2"/>
    <w:styleLink w:val="ImportedStyle1"/>
    <w:lvl w:ilvl="0" w:tplc="E2E8696E">
      <w:start w:val="1"/>
      <w:numFmt w:val="bullet"/>
      <w:lvlText w:val="·"/>
      <w:lvlJc w:val="left"/>
      <w:pPr>
        <w:tabs>
          <w:tab w:val="left" w:pos="922"/>
        </w:tabs>
        <w:ind w:left="92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6CC216">
      <w:start w:val="1"/>
      <w:numFmt w:val="bullet"/>
      <w:lvlText w:val="·"/>
      <w:lvlJc w:val="left"/>
      <w:pPr>
        <w:tabs>
          <w:tab w:val="left" w:pos="921"/>
          <w:tab w:val="left" w:pos="922"/>
        </w:tabs>
        <w:ind w:left="1795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83B0C">
      <w:start w:val="1"/>
      <w:numFmt w:val="bullet"/>
      <w:lvlText w:val="·"/>
      <w:lvlJc w:val="left"/>
      <w:pPr>
        <w:tabs>
          <w:tab w:val="left" w:pos="921"/>
          <w:tab w:val="left" w:pos="922"/>
        </w:tabs>
        <w:ind w:left="2670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21264">
      <w:start w:val="1"/>
      <w:numFmt w:val="bullet"/>
      <w:lvlText w:val="·"/>
      <w:lvlJc w:val="left"/>
      <w:pPr>
        <w:tabs>
          <w:tab w:val="left" w:pos="921"/>
          <w:tab w:val="left" w:pos="922"/>
        </w:tabs>
        <w:ind w:left="3544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CF29C">
      <w:start w:val="1"/>
      <w:numFmt w:val="bullet"/>
      <w:lvlText w:val="·"/>
      <w:lvlJc w:val="left"/>
      <w:pPr>
        <w:tabs>
          <w:tab w:val="left" w:pos="921"/>
          <w:tab w:val="left" w:pos="922"/>
        </w:tabs>
        <w:ind w:left="4419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635F2">
      <w:start w:val="1"/>
      <w:numFmt w:val="bullet"/>
      <w:lvlText w:val="·"/>
      <w:lvlJc w:val="left"/>
      <w:pPr>
        <w:tabs>
          <w:tab w:val="left" w:pos="921"/>
          <w:tab w:val="left" w:pos="922"/>
        </w:tabs>
        <w:ind w:left="5294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A6A7AA">
      <w:start w:val="1"/>
      <w:numFmt w:val="bullet"/>
      <w:lvlText w:val="·"/>
      <w:lvlJc w:val="left"/>
      <w:pPr>
        <w:tabs>
          <w:tab w:val="left" w:pos="921"/>
          <w:tab w:val="left" w:pos="922"/>
        </w:tabs>
        <w:ind w:left="6168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814B8">
      <w:start w:val="1"/>
      <w:numFmt w:val="bullet"/>
      <w:lvlText w:val="·"/>
      <w:lvlJc w:val="left"/>
      <w:pPr>
        <w:tabs>
          <w:tab w:val="left" w:pos="921"/>
          <w:tab w:val="left" w:pos="922"/>
        </w:tabs>
        <w:ind w:left="7043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09520">
      <w:start w:val="1"/>
      <w:numFmt w:val="bullet"/>
      <w:lvlText w:val="·"/>
      <w:lvlJc w:val="left"/>
      <w:pPr>
        <w:tabs>
          <w:tab w:val="left" w:pos="921"/>
          <w:tab w:val="left" w:pos="922"/>
        </w:tabs>
        <w:ind w:left="7918" w:hanging="3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75"/>
    <w:rsid w:val="00175C75"/>
    <w:rsid w:val="00445DC9"/>
    <w:rsid w:val="00A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75EB"/>
  <w15:docId w15:val="{DDC2F8E1-78A8-4DFE-9D3A-5E5DC8F2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uiPriority w:val="9"/>
    <w:unhideWhenUsed/>
    <w:qFormat/>
    <w:pPr>
      <w:widowControl w:val="0"/>
      <w:spacing w:before="56"/>
      <w:ind w:left="202"/>
      <w:jc w:val="both"/>
      <w:outlineLvl w:val="1"/>
    </w:pPr>
    <w:rPr>
      <w:rFonts w:ascii="Calibri" w:hAnsi="Calibri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uiPriority w:val="10"/>
    <w:qFormat/>
    <w:pPr>
      <w:widowControl w:val="0"/>
      <w:spacing w:before="20"/>
      <w:ind w:left="202" w:right="1788"/>
    </w:pPr>
    <w:rPr>
      <w:rFonts w:ascii="Calibri" w:hAnsi="Calibri" w:cs="Arial Unicode MS"/>
      <w:b/>
      <w:bCs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spacing w:before="20"/>
      <w:ind w:left="202"/>
      <w:jc w:val="both"/>
      <w:outlineLvl w:val="0"/>
    </w:pPr>
    <w:rPr>
      <w:rFonts w:ascii="Calibri" w:hAnsi="Calibri" w:cs="Arial Unicode MS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widowControl w:val="0"/>
      <w:spacing w:before="39"/>
      <w:ind w:left="922" w:hanging="361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spacing w:before="13" w:line="251" w:lineRule="exact"/>
      <w:ind w:left="85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a7">
    <w:name w:val="header"/>
    <w:basedOn w:val="a"/>
    <w:link w:val="a8"/>
    <w:uiPriority w:val="99"/>
    <w:unhideWhenUsed/>
    <w:rsid w:val="00445D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5DC9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45D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D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Oarsenyeva@nand.ru?subject=%D1%81%D1%82%D1%80%D0%B0%D1%85%D0%BE%D0%B2%D0%B0%D0%BD%D0%B8%D0%B5%20%D0%BE%D1%82%D0%B2%D0%B5%D1%82%D1%81%D1%82%D0%B2%D0%B5%D0%BD%D0%BD%D0%BE%D1%81%D1%82%D0%B8%20%D0%B4%D0%B8%D1%80%D0%B5%D0%BA%D1%82%D0%BE%D1%80%D0%B0" TargetMode="Externa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hyperlink" Target="mailto:vkremer@nand.ru" TargetMode="Externa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2307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buzzy</dc:creator>
  <cp:lastModifiedBy>buzzy</cp:lastModifiedBy>
  <cp:revision>2</cp:revision>
  <dcterms:created xsi:type="dcterms:W3CDTF">2021-02-05T12:05:00Z</dcterms:created>
  <dcterms:modified xsi:type="dcterms:W3CDTF">2021-02-05T12:05:00Z</dcterms:modified>
</cp:coreProperties>
</file>